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6094B186"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 xml:space="preserve"> 20</w:t>
      </w:r>
      <w:r w:rsidR="00FC49DF">
        <w:rPr>
          <w:rFonts w:ascii="Verdana" w:hAnsi="Verdana"/>
          <w:b/>
          <w:color w:val="0033CC"/>
          <w:sz w:val="28"/>
          <w:szCs w:val="28"/>
          <w:u w:val="single"/>
        </w:rPr>
        <w:t>2</w:t>
      </w:r>
      <w:r w:rsidR="001A61CB">
        <w:rPr>
          <w:rFonts w:ascii="Verdana" w:hAnsi="Verdana"/>
          <w:b/>
          <w:color w:val="0033CC"/>
          <w:sz w:val="28"/>
          <w:szCs w:val="28"/>
          <w:u w:val="single"/>
        </w:rPr>
        <w:t>3</w:t>
      </w:r>
      <w:r w:rsidR="00D12873">
        <w:rPr>
          <w:rFonts w:ascii="Verdana" w:hAnsi="Verdana"/>
          <w:b/>
          <w:color w:val="0033CC"/>
          <w:sz w:val="28"/>
          <w:szCs w:val="28"/>
          <w:u w:val="single"/>
        </w:rPr>
        <w:t xml:space="preserve"> </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057B1119"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REQUISITOS CONTABLES</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08044C73"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2D7FCF8A"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1A61CB">
        <w:rPr>
          <w:sz w:val="18"/>
          <w:szCs w:val="18"/>
        </w:rPr>
        <w:t>77</w:t>
      </w:r>
      <w:r>
        <w:rPr>
          <w:sz w:val="18"/>
          <w:szCs w:val="18"/>
        </w:rPr>
        <w:t xml:space="preserve"> de </w:t>
      </w:r>
      <w:r w:rsidR="001A61CB">
        <w:rPr>
          <w:sz w:val="18"/>
          <w:szCs w:val="18"/>
        </w:rPr>
        <w:t>24 de abril</w:t>
      </w:r>
      <w:r w:rsidR="0031236E">
        <w:rPr>
          <w:sz w:val="18"/>
          <w:szCs w:val="18"/>
        </w:rPr>
        <w:t xml:space="preserve"> de 202</w:t>
      </w:r>
      <w:r w:rsidR="001A61CB">
        <w:rPr>
          <w:sz w:val="18"/>
          <w:szCs w:val="18"/>
        </w:rPr>
        <w:t>3</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1A61CB">
        <w:rPr>
          <w:sz w:val="18"/>
          <w:szCs w:val="18"/>
        </w:rPr>
        <w:t>3</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45925735"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 </w:t>
      </w:r>
      <w:r w:rsidR="001A61CB">
        <w:rPr>
          <w:rFonts w:ascii="Verdana" w:hAnsi="Verdana"/>
          <w:sz w:val="18"/>
          <w:szCs w:val="18"/>
        </w:rPr>
        <w:t>SEKUENS</w:t>
      </w:r>
      <w:r w:rsidRPr="00445B3D">
        <w:rPr>
          <w:rFonts w:ascii="Verdana" w:hAnsi="Verdana"/>
          <w:sz w:val="18"/>
          <w:szCs w:val="18"/>
        </w:rPr>
        <w:t xml:space="preserve">,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w:t>
      </w:r>
      <w:r w:rsidR="001A61CB">
        <w:rPr>
          <w:rFonts w:ascii="Verdana" w:hAnsi="Verdana"/>
          <w:sz w:val="18"/>
          <w:szCs w:val="18"/>
        </w:rPr>
        <w:t>SEKUENS</w:t>
      </w:r>
      <w:r w:rsidRPr="00445B3D">
        <w:rPr>
          <w:rFonts w:ascii="Verdana" w:hAnsi="Verdana"/>
          <w:sz w:val="18"/>
          <w:szCs w:val="18"/>
        </w:rPr>
        <w:t xml:space="preserve">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044CDD68"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 xml:space="preserve">deberá solicitarse la autorización de </w:t>
      </w:r>
      <w:r w:rsidR="001A61CB">
        <w:rPr>
          <w:rFonts w:ascii="Verdana" w:hAnsi="Verdana"/>
          <w:b/>
          <w:sz w:val="18"/>
          <w:szCs w:val="18"/>
        </w:rPr>
        <w:t>SEKUENS</w:t>
      </w:r>
      <w:r w:rsidRPr="00BB5BC6">
        <w:rPr>
          <w:rFonts w:ascii="Verdana" w:hAnsi="Verdana"/>
          <w:b/>
          <w:sz w:val="18"/>
          <w:szCs w:val="18"/>
        </w:rPr>
        <w:t>,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7D96E606" w:rsidR="008C4A43" w:rsidRDefault="008C4A43" w:rsidP="008C4A43">
      <w:pPr>
        <w:spacing w:after="120"/>
        <w:jc w:val="both"/>
        <w:rPr>
          <w:rFonts w:ascii="Verdana" w:hAnsi="Verdana"/>
          <w:sz w:val="18"/>
          <w:szCs w:val="18"/>
        </w:rPr>
      </w:pPr>
    </w:p>
    <w:p w14:paraId="2103768F" w14:textId="1CE80187" w:rsidR="00FC49DF" w:rsidRDefault="00FC49DF" w:rsidP="008C4A43">
      <w:pPr>
        <w:spacing w:after="120"/>
        <w:jc w:val="both"/>
        <w:rPr>
          <w:rFonts w:ascii="Verdana" w:hAnsi="Verdana"/>
          <w:sz w:val="18"/>
          <w:szCs w:val="18"/>
        </w:rPr>
      </w:pPr>
    </w:p>
    <w:p w14:paraId="0B8F46A7" w14:textId="77777777" w:rsidR="00FC49DF" w:rsidRDefault="00FC49DF"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2E7212D8"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C49DF">
        <w:rPr>
          <w:rFonts w:ascii="Verdana" w:hAnsi="Verdana"/>
          <w:b/>
          <w:bCs/>
          <w:sz w:val="18"/>
          <w:szCs w:val="18"/>
          <w:u w:val="single"/>
          <w:lang w:val="es-ES_tradnl"/>
        </w:rPr>
        <w:t>se acreditarán</w:t>
      </w:r>
      <w:r w:rsidR="00FC49DF" w:rsidRPr="00FC49DF">
        <w:rPr>
          <w:rFonts w:ascii="Verdana" w:hAnsi="Verdana"/>
          <w:b/>
          <w:bCs/>
          <w:sz w:val="18"/>
          <w:szCs w:val="18"/>
          <w:u w:val="single"/>
          <w:lang w:val="es-ES_tradnl"/>
        </w:rPr>
        <w:t xml:space="preserve"> OBLIGATORIAMENTE</w:t>
      </w:r>
      <w:r w:rsidRPr="00FC49DF">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C49DF">
        <w:rPr>
          <w:rFonts w:ascii="Verdana" w:hAnsi="Verdana"/>
          <w:bCs/>
          <w:sz w:val="18"/>
          <w:szCs w:val="18"/>
        </w:rPr>
        <w:t>modelo</w:t>
      </w:r>
      <w:r w:rsidRPr="00D30C3C">
        <w:rPr>
          <w:rFonts w:ascii="Verdana" w:hAnsi="Verdana"/>
          <w:b/>
          <w:sz w:val="18"/>
          <w:szCs w:val="18"/>
        </w:rPr>
        <w:t xml:space="preserve"> </w:t>
      </w:r>
      <w:r w:rsidR="00FC49DF">
        <w:rPr>
          <w:rFonts w:ascii="Verdana" w:hAnsi="Verdana"/>
          <w:sz w:val="18"/>
          <w:szCs w:val="18"/>
        </w:rPr>
        <w:t xml:space="preserve">expuesto en la página web de </w:t>
      </w:r>
      <w:r w:rsidR="001A61CB">
        <w:rPr>
          <w:rFonts w:ascii="Verdana" w:hAnsi="Verdana"/>
          <w:sz w:val="18"/>
          <w:szCs w:val="18"/>
        </w:rPr>
        <w:t>SEKUENS</w:t>
      </w:r>
      <w:r w:rsidRPr="00D30C3C">
        <w:rPr>
          <w:rFonts w:ascii="Verdana" w:hAnsi="Verdana"/>
          <w:sz w:val="18"/>
          <w:szCs w:val="18"/>
        </w:rPr>
        <w:t>.</w:t>
      </w:r>
    </w:p>
    <w:p w14:paraId="1376A158" w14:textId="77777777" w:rsidR="008C4A43" w:rsidRDefault="008C4A43" w:rsidP="00FC49DF">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08AF2ED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 </w:t>
      </w:r>
      <w:r w:rsidR="001A61CB">
        <w:rPr>
          <w:rFonts w:ascii="Verdana" w:hAnsi="Verdana"/>
          <w:sz w:val="18"/>
          <w:szCs w:val="18"/>
        </w:rPr>
        <w:t>SEKUENS</w:t>
      </w:r>
      <w:r w:rsidRPr="00FE4153">
        <w:rPr>
          <w:rFonts w:ascii="Verdana" w:hAnsi="Verdana"/>
          <w:sz w:val="18"/>
          <w:szCs w:val="18"/>
        </w:rPr>
        <w:t xml:space="preserve">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1376A15E" w14:textId="77777777" w:rsidR="008C4A43" w:rsidRPr="00D30C3C" w:rsidRDefault="008C4A43" w:rsidP="008C4A43">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9" w14:textId="77777777" w:rsidR="008C4A43" w:rsidRDefault="008C4A43" w:rsidP="008C4A43">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D84255" w14:paraId="1376A16B" w14:textId="77777777" w:rsidTr="00F76041">
        <w:tc>
          <w:tcPr>
            <w:tcW w:w="6379" w:type="dxa"/>
          </w:tcPr>
          <w:p w14:paraId="1376A16A" w14:textId="77777777" w:rsidR="008C4A43" w:rsidRPr="00D84255" w:rsidRDefault="008C4A43" w:rsidP="00F76041">
            <w:pPr>
              <w:ind w:left="425" w:hanging="425"/>
              <w:rPr>
                <w:rFonts w:ascii="Verdana" w:hAnsi="Verdana"/>
                <w:sz w:val="18"/>
                <w:szCs w:val="18"/>
              </w:rPr>
            </w:pPr>
            <w:r w:rsidRPr="00D84255">
              <w:rPr>
                <w:rFonts w:ascii="Verdana" w:hAnsi="Verdana"/>
                <w:sz w:val="18"/>
                <w:szCs w:val="18"/>
              </w:rPr>
              <w:t>Colaboraciones externas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77777777" w:rsidR="008C4A43" w:rsidRDefault="008C4A43" w:rsidP="008C4A43">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5FA6550A" w14:textId="0546BDDE" w:rsidR="001A61CB" w:rsidRPr="008B6C77" w:rsidRDefault="008C4A43" w:rsidP="001A61CB">
      <w:pPr>
        <w:spacing w:before="240" w:after="120"/>
        <w:jc w:val="both"/>
        <w:rPr>
          <w:rFonts w:ascii="Verdana" w:hAnsi="Verdana"/>
          <w:sz w:val="18"/>
          <w:szCs w:val="18"/>
        </w:rPr>
      </w:pPr>
      <w:r w:rsidRPr="00E94744">
        <w:rPr>
          <w:rFonts w:ascii="Verdana" w:hAnsi="Verdana"/>
          <w:sz w:val="18"/>
          <w:szCs w:val="18"/>
        </w:rPr>
        <w:t>En el caso de que de dichos (citados/ relacionados) justificantes de pago</w:t>
      </w:r>
      <w:r w:rsidRPr="00E94744">
        <w:rPr>
          <w:rFonts w:ascii="Verdana" w:hAnsi="Verdana"/>
          <w:b/>
          <w:sz w:val="18"/>
          <w:szCs w:val="18"/>
        </w:rPr>
        <w:t>, no se identifique claramente en los términos necesarios (beneficiario, fecha, concepto, factura…)</w:t>
      </w:r>
      <w:r w:rsidR="001A61CB">
        <w:rPr>
          <w:rFonts w:ascii="Verdana" w:hAnsi="Verdana"/>
          <w:sz w:val="18"/>
          <w:szCs w:val="18"/>
        </w:rPr>
        <w:t>,</w:t>
      </w:r>
      <w:r w:rsidR="001A61CB" w:rsidRPr="001A61CB">
        <w:rPr>
          <w:rFonts w:ascii="Verdana" w:hAnsi="Verdana"/>
          <w:sz w:val="18"/>
          <w:szCs w:val="18"/>
        </w:rPr>
        <w:t xml:space="preserve"> </w:t>
      </w:r>
      <w:r w:rsidR="001A61CB" w:rsidRPr="008B6C77">
        <w:rPr>
          <w:rFonts w:ascii="Verdana" w:hAnsi="Verdana"/>
          <w:sz w:val="18"/>
          <w:szCs w:val="18"/>
        </w:rPr>
        <w:t xml:space="preserve">se admitirán </w:t>
      </w:r>
      <w:r w:rsidR="001A61CB" w:rsidRPr="008B6C77">
        <w:rPr>
          <w:rFonts w:ascii="Verdana" w:hAnsi="Verdana"/>
          <w:b/>
          <w:sz w:val="18"/>
          <w:szCs w:val="18"/>
        </w:rPr>
        <w:t>certificados firmados, o bien del proveedor o de la entidad financiera</w:t>
      </w:r>
      <w:r w:rsidR="001A61CB" w:rsidRPr="008B6C77">
        <w:rPr>
          <w:rFonts w:ascii="Verdana" w:hAnsi="Verdana"/>
          <w:sz w:val="18"/>
          <w:szCs w:val="18"/>
        </w:rPr>
        <w:t xml:space="preserve"> en los que conste el pago de la inversión concreta de cada factura.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33D31962"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861359">
              <w:rPr>
                <w:rFonts w:ascii="Verdana" w:hAnsi="Verdana"/>
                <w:sz w:val="15"/>
                <w:szCs w:val="15"/>
              </w:rPr>
              <w:t>1.0</w:t>
            </w:r>
            <w:r w:rsidRPr="00691658">
              <w:rPr>
                <w:rFonts w:ascii="Verdana" w:hAnsi="Verdana"/>
                <w:sz w:val="15"/>
                <w:szCs w:val="15"/>
              </w:rPr>
              <w:t>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2D0A2CEC" w14:textId="77777777" w:rsidR="001A61CB" w:rsidRDefault="001A61CB" w:rsidP="008C4A43">
      <w:pPr>
        <w:spacing w:after="120"/>
        <w:ind w:left="426" w:hanging="426"/>
        <w:jc w:val="both"/>
        <w:rPr>
          <w:rFonts w:ascii="Verdana" w:hAnsi="Verdana"/>
          <w:sz w:val="18"/>
          <w:szCs w:val="18"/>
        </w:rPr>
      </w:pPr>
    </w:p>
    <w:p w14:paraId="1376A196" w14:textId="05EE965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9" w14:textId="77777777" w:rsidR="008C4A43" w:rsidRDefault="008C4A43" w:rsidP="008C4A43">
      <w:pPr>
        <w:spacing w:after="120"/>
        <w:ind w:left="284"/>
        <w:jc w:val="both"/>
        <w:rPr>
          <w:rFonts w:ascii="Verdana" w:hAnsi="Verdana"/>
          <w:sz w:val="18"/>
          <w:szCs w:val="18"/>
        </w:rPr>
      </w:pPr>
    </w:p>
    <w:p w14:paraId="542A4407" w14:textId="77777777" w:rsidR="001A61CB" w:rsidRDefault="001A61CB" w:rsidP="008C4A43">
      <w:pPr>
        <w:spacing w:after="120"/>
        <w:ind w:left="284"/>
        <w:jc w:val="both"/>
        <w:rPr>
          <w:rFonts w:ascii="Verdana" w:hAnsi="Verdana"/>
          <w:sz w:val="18"/>
          <w:szCs w:val="18"/>
        </w:rPr>
      </w:pPr>
    </w:p>
    <w:p w14:paraId="03D4FD1B" w14:textId="77777777" w:rsidR="001A61CB" w:rsidRPr="00D84255" w:rsidRDefault="001A61CB" w:rsidP="008C4A43">
      <w:pPr>
        <w:spacing w:after="120"/>
        <w:ind w:left="284"/>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2428658C" w:rsidR="008C4A43" w:rsidRDefault="008C4A43" w:rsidP="008C4A43">
      <w:pPr>
        <w:jc w:val="both"/>
        <w:rPr>
          <w:i/>
          <w:sz w:val="18"/>
          <w:szCs w:val="18"/>
        </w:rPr>
      </w:pPr>
      <w:r w:rsidRPr="00A22994">
        <w:rPr>
          <w:i/>
          <w:sz w:val="18"/>
          <w:szCs w:val="18"/>
        </w:rPr>
        <w:t xml:space="preserve">Supongamos que </w:t>
      </w:r>
      <w:r w:rsidR="001A61CB">
        <w:rPr>
          <w:i/>
          <w:sz w:val="18"/>
          <w:szCs w:val="18"/>
        </w:rPr>
        <w:t>SEKUENS</w:t>
      </w:r>
      <w:r w:rsidRPr="00A22994">
        <w:rPr>
          <w:i/>
          <w:sz w:val="18"/>
          <w:szCs w:val="18"/>
        </w:rPr>
        <w:t xml:space="preserve">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1D852DC1"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lastRenderedPageBreak/>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938FEF6"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3A99DF89"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A6235D6"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 </w:t>
      </w:r>
      <w:r w:rsidR="001A61CB">
        <w:rPr>
          <w:rFonts w:ascii="Verdana" w:hAnsi="Verdana" w:cs="Verdana"/>
          <w:sz w:val="18"/>
          <w:szCs w:val="18"/>
        </w:rPr>
        <w:t>SEKUENS</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25A22329"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ver página web de </w:t>
      </w:r>
      <w:r w:rsidR="001A61CB">
        <w:rPr>
          <w:rFonts w:ascii="Verdana" w:hAnsi="Verdana" w:cs="Verdana"/>
          <w:sz w:val="18"/>
          <w:szCs w:val="18"/>
        </w:rPr>
        <w:t>SEKUENS</w:t>
      </w:r>
      <w:r w:rsidRPr="00D30C3C">
        <w:rPr>
          <w:rFonts w:ascii="Verdana" w:hAnsi="Verdana" w:cs="Verdana"/>
          <w:sz w:val="18"/>
          <w:szCs w:val="18"/>
        </w:rPr>
        <w:t xml:space="preserve">. </w:t>
      </w:r>
    </w:p>
    <w:p w14:paraId="1376A1D6" w14:textId="77777777" w:rsidR="008C4A43" w:rsidRDefault="008C4A43" w:rsidP="008C4A43">
      <w:pPr>
        <w:autoSpaceDE w:val="0"/>
        <w:autoSpaceDN w:val="0"/>
        <w:adjustRightInd w:val="0"/>
        <w:spacing w:after="120"/>
        <w:jc w:val="both"/>
        <w:rPr>
          <w:rFonts w:ascii="Verdana" w:hAnsi="Verdana" w:cs="Verdana"/>
          <w:sz w:val="18"/>
          <w:szCs w:val="18"/>
        </w:rPr>
      </w:pPr>
    </w:p>
    <w:p w14:paraId="7170BFD8" w14:textId="77777777" w:rsidR="001A61CB" w:rsidRPr="00D30C3C" w:rsidRDefault="001A61CB"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20B13F78" w:rsidR="008C4A43" w:rsidRPr="00D30C3C" w:rsidRDefault="008C4A43" w:rsidP="008C4A43">
      <w:pPr>
        <w:spacing w:after="120"/>
        <w:jc w:val="both"/>
        <w:rPr>
          <w:rFonts w:ascii="Verdana" w:hAnsi="Verdana"/>
          <w:sz w:val="18"/>
          <w:szCs w:val="18"/>
        </w:rPr>
      </w:pPr>
      <w:r w:rsidRPr="00D30C3C">
        <w:rPr>
          <w:rFonts w:ascii="Verdana" w:hAnsi="Verdana"/>
          <w:sz w:val="18"/>
          <w:szCs w:val="18"/>
        </w:rPr>
        <w:t xml:space="preserve">En el caso de que el beneficiario no haya autorizado a </w:t>
      </w:r>
      <w:r w:rsidR="001A61CB">
        <w:rPr>
          <w:rFonts w:ascii="Verdana" w:hAnsi="Verdana"/>
          <w:sz w:val="18"/>
          <w:szCs w:val="18"/>
        </w:rPr>
        <w:t>SEKUENS</w:t>
      </w:r>
      <w:r w:rsidRPr="00D30C3C">
        <w:rPr>
          <w:rFonts w:ascii="Verdana" w:hAnsi="Verdana"/>
          <w:sz w:val="18"/>
          <w:szCs w:val="18"/>
        </w:rPr>
        <w:t xml:space="preserve">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622D99E6"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 xml:space="preserve">Comunicar a </w:t>
      </w:r>
      <w:r w:rsidR="001A61CB">
        <w:rPr>
          <w:rFonts w:ascii="Verdana" w:hAnsi="Verdana"/>
          <w:sz w:val="18"/>
          <w:szCs w:val="18"/>
        </w:rPr>
        <w:t>SEKUENS</w:t>
      </w:r>
      <w:r w:rsidRPr="00D30C3C">
        <w:rPr>
          <w:rFonts w:ascii="Verdana" w:hAnsi="Verdana"/>
          <w:sz w:val="18"/>
          <w:szCs w:val="18"/>
        </w:rPr>
        <w:t>,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0BC8F835"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861359">
        <w:rPr>
          <w:rFonts w:ascii="Verdana" w:hAnsi="Verdana"/>
          <w:b/>
          <w:sz w:val="18"/>
          <w:szCs w:val="18"/>
        </w:rPr>
        <w:t>5 años tras el 31 de diciembre del año en el que se haga el último pago al beneficiario</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9B3681"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9B3681"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9B3681"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9B3681"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1376A1E7" w14:textId="1C382D09" w:rsidR="008C4A43" w:rsidRPr="0031236E" w:rsidRDefault="0031236E" w:rsidP="008C4A43">
      <w:pPr>
        <w:pStyle w:val="Listaconvietas"/>
        <w:rPr>
          <w:rStyle w:val="Hipervnculo"/>
        </w:rPr>
      </w:pPr>
      <w:r>
        <w:rPr>
          <w:rFonts w:cs="Tahoma"/>
          <w:sz w:val="18"/>
          <w:szCs w:val="18"/>
          <w:shd w:val="clear" w:color="auto" w:fill="FFFFFF"/>
        </w:rPr>
        <w:fldChar w:fldCharType="begin"/>
      </w:r>
      <w:r w:rsidR="001A61CB">
        <w:rPr>
          <w:rFonts w:cs="Tahoma"/>
          <w:sz w:val="18"/>
          <w:szCs w:val="18"/>
          <w:shd w:val="clear" w:color="auto" w:fill="FFFFFF"/>
        </w:rPr>
        <w:instrText>HYPERLINK "https://www.idepa.es/documents/20147/76532/1.13.Extracto_PID_2023.pdf/72be96cf-2996-4e68-2ee4-e12ab7cc166f"</w:instrText>
      </w:r>
      <w:r>
        <w:rPr>
          <w:rFonts w:cs="Tahoma"/>
          <w:sz w:val="18"/>
          <w:szCs w:val="18"/>
          <w:shd w:val="clear" w:color="auto" w:fill="FFFFFF"/>
        </w:rPr>
      </w:r>
      <w:r>
        <w:rPr>
          <w:rFonts w:cs="Tahoma"/>
          <w:sz w:val="18"/>
          <w:szCs w:val="18"/>
          <w:shd w:val="clear" w:color="auto" w:fill="FFFFFF"/>
        </w:rPr>
        <w:fldChar w:fldCharType="separate"/>
      </w:r>
      <w:r w:rsidR="008C4A43" w:rsidRPr="0031236E">
        <w:rPr>
          <w:rStyle w:val="Hipervnculo"/>
          <w:rFonts w:cs="Tahoma"/>
          <w:sz w:val="18"/>
          <w:szCs w:val="18"/>
          <w:shd w:val="clear" w:color="auto" w:fill="FFFFFF"/>
        </w:rPr>
        <w:t xml:space="preserve">Resolución de </w:t>
      </w:r>
      <w:r w:rsidR="001A61CB">
        <w:rPr>
          <w:rStyle w:val="Hipervnculo"/>
          <w:rFonts w:cs="Tahoma"/>
          <w:sz w:val="18"/>
          <w:szCs w:val="18"/>
          <w:shd w:val="clear" w:color="auto" w:fill="FFFFFF"/>
        </w:rPr>
        <w:t>13</w:t>
      </w:r>
      <w:r w:rsidRPr="0031236E">
        <w:rPr>
          <w:rStyle w:val="Hipervnculo"/>
          <w:rFonts w:cs="Tahoma"/>
          <w:sz w:val="18"/>
          <w:szCs w:val="18"/>
          <w:shd w:val="clear" w:color="auto" w:fill="FFFFFF"/>
        </w:rPr>
        <w:t xml:space="preserve"> de </w:t>
      </w:r>
      <w:r w:rsidR="00FC49DF">
        <w:rPr>
          <w:rStyle w:val="Hipervnculo"/>
          <w:rFonts w:cs="Tahoma"/>
          <w:sz w:val="18"/>
          <w:szCs w:val="18"/>
          <w:shd w:val="clear" w:color="auto" w:fill="FFFFFF"/>
        </w:rPr>
        <w:t>abril</w:t>
      </w:r>
      <w:r w:rsidRPr="0031236E">
        <w:rPr>
          <w:rStyle w:val="Hipervnculo"/>
          <w:rFonts w:cs="Tahoma"/>
          <w:sz w:val="18"/>
          <w:szCs w:val="18"/>
          <w:shd w:val="clear" w:color="auto" w:fill="FFFFFF"/>
        </w:rPr>
        <w:t xml:space="preserve"> de 202</w:t>
      </w:r>
      <w:r w:rsidR="001A61CB">
        <w:rPr>
          <w:rStyle w:val="Hipervnculo"/>
          <w:rFonts w:cs="Tahoma"/>
          <w:sz w:val="18"/>
          <w:szCs w:val="18"/>
          <w:shd w:val="clear" w:color="auto" w:fill="FFFFFF"/>
        </w:rPr>
        <w:t>3</w:t>
      </w:r>
      <w:r w:rsidR="008C4A43" w:rsidRPr="0031236E">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31236E">
        <w:rPr>
          <w:rStyle w:val="Hipervnculo"/>
          <w:rFonts w:cs="Tahoma"/>
          <w:sz w:val="18"/>
          <w:szCs w:val="18"/>
          <w:shd w:val="clear" w:color="auto" w:fill="FFFFFF"/>
        </w:rPr>
        <w:t xml:space="preserve">dirigidas </w:t>
      </w:r>
      <w:r w:rsidR="008C4A43" w:rsidRPr="0031236E">
        <w:rPr>
          <w:rStyle w:val="Hipervnculo"/>
          <w:rFonts w:cs="Tahoma"/>
          <w:sz w:val="18"/>
          <w:szCs w:val="18"/>
          <w:shd w:val="clear" w:color="auto" w:fill="FFFFFF"/>
        </w:rPr>
        <w:t>a</w:t>
      </w:r>
      <w:r w:rsidR="00A822D2" w:rsidRPr="0031236E">
        <w:rPr>
          <w:rStyle w:val="Hipervnculo"/>
          <w:rFonts w:cs="Tahoma"/>
          <w:sz w:val="18"/>
          <w:szCs w:val="18"/>
          <w:shd w:val="clear" w:color="auto" w:fill="FFFFFF"/>
        </w:rPr>
        <w:t xml:space="preserve"> la ejecución de</w:t>
      </w:r>
      <w:r w:rsidR="008C4A43" w:rsidRPr="0031236E">
        <w:rPr>
          <w:rStyle w:val="Hipervnculo"/>
          <w:rFonts w:cs="Tahoma"/>
          <w:sz w:val="18"/>
          <w:szCs w:val="18"/>
          <w:shd w:val="clear" w:color="auto" w:fill="FFFFFF"/>
        </w:rPr>
        <w:t xml:space="preserve"> proyectos </w:t>
      </w:r>
      <w:r w:rsidR="00A822D2" w:rsidRPr="0031236E">
        <w:rPr>
          <w:rStyle w:val="Hipervnculo"/>
          <w:rFonts w:cs="Tahoma"/>
          <w:sz w:val="18"/>
          <w:szCs w:val="18"/>
          <w:shd w:val="clear" w:color="auto" w:fill="FFFFFF"/>
        </w:rPr>
        <w:t>de I+D en el</w:t>
      </w:r>
      <w:r w:rsidR="008C4A43" w:rsidRPr="0031236E">
        <w:rPr>
          <w:rStyle w:val="Hipervnculo"/>
          <w:rFonts w:cs="Tahoma"/>
          <w:sz w:val="18"/>
          <w:szCs w:val="18"/>
          <w:shd w:val="clear" w:color="auto" w:fill="FFFFFF"/>
        </w:rPr>
        <w:t xml:space="preserve"> Principado de</w:t>
      </w:r>
      <w:r w:rsidR="00A822D2" w:rsidRPr="0031236E">
        <w:rPr>
          <w:rStyle w:val="Hipervnculo"/>
          <w:rFonts w:cs="Tahoma"/>
          <w:sz w:val="18"/>
          <w:szCs w:val="18"/>
          <w:shd w:val="clear" w:color="auto" w:fill="FFFFFF"/>
        </w:rPr>
        <w:t xml:space="preserve"> Asturias para el ejercicio 20</w:t>
      </w:r>
      <w:r w:rsidRPr="0031236E">
        <w:rPr>
          <w:rStyle w:val="Hipervnculo"/>
          <w:rFonts w:cs="Tahoma"/>
          <w:sz w:val="18"/>
          <w:szCs w:val="18"/>
          <w:shd w:val="clear" w:color="auto" w:fill="FFFFFF"/>
        </w:rPr>
        <w:t>2</w:t>
      </w:r>
      <w:r w:rsidR="001A61CB">
        <w:rPr>
          <w:rStyle w:val="Hipervnculo"/>
          <w:rFonts w:cs="Tahoma"/>
          <w:sz w:val="18"/>
          <w:szCs w:val="18"/>
          <w:shd w:val="clear" w:color="auto" w:fill="FFFFFF"/>
        </w:rPr>
        <w:t>3</w:t>
      </w:r>
      <w:r w:rsidR="008C4A43" w:rsidRPr="0031236E">
        <w:rPr>
          <w:rStyle w:val="Hipervnculo"/>
          <w:rFonts w:cs="Tahoma"/>
          <w:sz w:val="18"/>
          <w:szCs w:val="18"/>
          <w:shd w:val="clear" w:color="auto" w:fill="FFFFFF"/>
        </w:rPr>
        <w:t>.</w:t>
      </w:r>
    </w:p>
    <w:p w14:paraId="3CBAFBB6" w14:textId="7FE34C5F" w:rsidR="00FC49DF" w:rsidRPr="0031236E" w:rsidRDefault="0031236E" w:rsidP="00FC49DF">
      <w:pPr>
        <w:pStyle w:val="Listaconvietas"/>
        <w:rPr>
          <w:rStyle w:val="Hipervnculo"/>
        </w:rPr>
      </w:pPr>
      <w:r>
        <w:rPr>
          <w:rFonts w:cs="Tahoma"/>
          <w:sz w:val="18"/>
          <w:szCs w:val="18"/>
          <w:shd w:val="clear" w:color="auto" w:fill="FFFFFF"/>
        </w:rPr>
        <w:fldChar w:fldCharType="end"/>
      </w:r>
      <w:r w:rsidR="00FC49DF">
        <w:rPr>
          <w:rFonts w:cs="Tahoma"/>
          <w:sz w:val="18"/>
          <w:szCs w:val="18"/>
          <w:shd w:val="clear" w:color="auto" w:fill="FFFFFF"/>
        </w:rPr>
        <w:fldChar w:fldCharType="begin"/>
      </w:r>
      <w:r w:rsidR="001A61CB">
        <w:rPr>
          <w:rFonts w:cs="Tahoma"/>
          <w:sz w:val="18"/>
          <w:szCs w:val="18"/>
          <w:shd w:val="clear" w:color="auto" w:fill="FFFFFF"/>
        </w:rPr>
        <w:instrText>HYPERLINK "https://www.idepa.es/documents/20147/76532/1.13.Convocatoria_PID_2023.pdf/74b6c979-35ae-62ba-ad96-78d55e576dc5"</w:instrText>
      </w:r>
      <w:r w:rsidR="00FC49DF">
        <w:rPr>
          <w:rFonts w:cs="Tahoma"/>
          <w:sz w:val="18"/>
          <w:szCs w:val="18"/>
          <w:shd w:val="clear" w:color="auto" w:fill="FFFFFF"/>
        </w:rPr>
      </w:r>
      <w:r w:rsidR="00FC49DF">
        <w:rPr>
          <w:rFonts w:cs="Tahoma"/>
          <w:sz w:val="18"/>
          <w:szCs w:val="18"/>
          <w:shd w:val="clear" w:color="auto" w:fill="FFFFFF"/>
        </w:rPr>
        <w:fldChar w:fldCharType="separate"/>
      </w:r>
      <w:r w:rsidR="00FC49DF">
        <w:rPr>
          <w:rStyle w:val="Hipervnculo"/>
          <w:rFonts w:cs="Tahoma"/>
          <w:sz w:val="18"/>
          <w:szCs w:val="18"/>
          <w:shd w:val="clear" w:color="auto" w:fill="FFFFFF"/>
        </w:rPr>
        <w:t>VER CONVOCATORIA</w:t>
      </w:r>
      <w:r w:rsidR="00FC49DF" w:rsidRPr="0031236E">
        <w:rPr>
          <w:rStyle w:val="Hipervnculo"/>
          <w:rFonts w:cs="Tahoma"/>
          <w:sz w:val="18"/>
          <w:szCs w:val="18"/>
          <w:shd w:val="clear" w:color="auto" w:fill="FFFFFF"/>
        </w:rPr>
        <w:t>.</w:t>
      </w:r>
    </w:p>
    <w:p w14:paraId="1376A1E8" w14:textId="4DDD6E2C" w:rsidR="008C4A43" w:rsidRPr="00861359" w:rsidRDefault="00FC49DF" w:rsidP="00861359">
      <w:pPr>
        <w:numPr>
          <w:ilvl w:val="0"/>
          <w:numId w:val="13"/>
        </w:numPr>
        <w:spacing w:after="60"/>
        <w:ind w:left="425" w:hanging="425"/>
        <w:jc w:val="both"/>
        <w:rPr>
          <w:rStyle w:val="Hipervnculo"/>
        </w:rPr>
      </w:pPr>
      <w:r>
        <w:rPr>
          <w:rFonts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9B3681"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9B3681"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9B3681"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9B3681"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9B3681"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9B3681"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9B3681"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9B3681"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9B3681"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bookmarkEnd w:id="1"/>
    <w:bookmarkEnd w:id="2"/>
    <w:p w14:paraId="1376A1F5" w14:textId="77777777" w:rsidR="008C4A43" w:rsidRDefault="008C4A43" w:rsidP="008C4A43">
      <w:pPr>
        <w:pStyle w:val="Prrafodelista"/>
        <w:ind w:left="0"/>
        <w:contextualSpacing w:val="0"/>
        <w:jc w:val="both"/>
        <w:rPr>
          <w:rFonts w:ascii="Verdana" w:hAnsi="Verdana"/>
          <w:sz w:val="18"/>
          <w:szCs w:val="18"/>
        </w:rPr>
      </w:pPr>
    </w:p>
    <w:sectPr w:rsidR="008C4A43" w:rsidSect="00785A11">
      <w:headerReference w:type="default" r:id="rId25"/>
      <w:footerReference w:type="default" r:id="rId26"/>
      <w:pgSz w:w="11907" w:h="16840" w:code="9"/>
      <w:pgMar w:top="2268"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2753" w14:textId="77777777" w:rsidR="00DA53AE" w:rsidRDefault="00DA53AE" w:rsidP="00060EAD">
      <w:r>
        <w:separator/>
      </w:r>
    </w:p>
  </w:endnote>
  <w:endnote w:type="continuationSeparator" w:id="0">
    <w:p w14:paraId="4338BD5A" w14:textId="77777777" w:rsidR="00DA53AE" w:rsidRDefault="00DA53A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75648875" w:rsidR="00E12A46" w:rsidRPr="000757D7" w:rsidRDefault="00E9210E"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 xml:space="preserve">GUIÁ JUSTIFICACIÓN </w:t>
    </w:r>
    <w:r w:rsidR="00E12A46" w:rsidRPr="000757D7">
      <w:rPr>
        <w:rFonts w:ascii="Verdana" w:hAnsi="Verdana"/>
        <w:color w:val="0033CC"/>
        <w:sz w:val="16"/>
        <w:szCs w:val="16"/>
      </w:rPr>
      <w:t xml:space="preserve">AYUDAS A PROYECTOS </w:t>
    </w:r>
    <w:r>
      <w:rPr>
        <w:rFonts w:ascii="Verdana" w:hAnsi="Verdana"/>
        <w:color w:val="0033CC"/>
        <w:sz w:val="16"/>
        <w:szCs w:val="16"/>
      </w:rPr>
      <w:t>PROYECTOS I+D</w:t>
    </w:r>
    <w:r w:rsidR="00E12A46" w:rsidRPr="000757D7">
      <w:rPr>
        <w:rFonts w:ascii="Verdana" w:hAnsi="Verdana"/>
        <w:color w:val="0033CC"/>
        <w:sz w:val="16"/>
        <w:szCs w:val="16"/>
      </w:rPr>
      <w:t xml:space="preserve"> 20</w:t>
    </w:r>
    <w:r w:rsidR="0031236E">
      <w:rPr>
        <w:rFonts w:ascii="Verdana" w:hAnsi="Verdana"/>
        <w:color w:val="0033CC"/>
        <w:sz w:val="16"/>
        <w:szCs w:val="16"/>
      </w:rPr>
      <w:t>2</w:t>
    </w:r>
    <w:r w:rsidR="001A61CB">
      <w:rPr>
        <w:rFonts w:ascii="Verdana" w:hAnsi="Verdana"/>
        <w:color w:val="0033CC"/>
        <w:sz w:val="16"/>
        <w:szCs w:val="16"/>
      </w:rPr>
      <w:t>3</w:t>
    </w:r>
  </w:p>
  <w:p w14:paraId="1376A2F1" w14:textId="17BBDEC3"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785A1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C52" w14:textId="77777777" w:rsidR="00DA53AE" w:rsidRDefault="00DA53AE" w:rsidP="00060EAD">
      <w:r>
        <w:separator/>
      </w:r>
    </w:p>
  </w:footnote>
  <w:footnote w:type="continuationSeparator" w:id="0">
    <w:p w14:paraId="7B7EA658" w14:textId="77777777" w:rsidR="00DA53AE" w:rsidRDefault="00DA53A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4138FBF0" w:rsidR="00A822D2" w:rsidRDefault="001A61CB" w:rsidP="00F013CA">
          <w:pPr>
            <w:pStyle w:val="Encabezado"/>
            <w:tabs>
              <w:tab w:val="left" w:pos="295"/>
            </w:tabs>
            <w:spacing w:before="60" w:after="60"/>
          </w:pPr>
          <w:r>
            <w:rPr>
              <w:noProof/>
            </w:rPr>
            <w:drawing>
              <wp:inline distT="0" distB="0" distL="0" distR="0" wp14:anchorId="4225FDA1" wp14:editId="23C3F0E2">
                <wp:extent cx="2353945" cy="493395"/>
                <wp:effectExtent l="0" t="0" r="0" b="1905"/>
                <wp:docPr id="116228078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80788"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00C8495F" w:rsidR="00A822D2" w:rsidRDefault="001A61CB" w:rsidP="00F013CA">
          <w:pPr>
            <w:pStyle w:val="Encabezado"/>
            <w:tabs>
              <w:tab w:val="left" w:pos="295"/>
            </w:tabs>
            <w:spacing w:before="60" w:after="60"/>
            <w:jc w:val="right"/>
          </w:pPr>
          <w:r>
            <w:rPr>
              <w:noProof/>
            </w:rPr>
            <w:drawing>
              <wp:inline distT="0" distB="0" distL="0" distR="0" wp14:anchorId="1EB37151" wp14:editId="6863C26C">
                <wp:extent cx="1906270" cy="774065"/>
                <wp:effectExtent l="0" t="0" r="0" b="6985"/>
                <wp:docPr id="68467705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677054"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1760066">
    <w:abstractNumId w:val="3"/>
  </w:num>
  <w:num w:numId="2" w16cid:durableId="1233387737">
    <w:abstractNumId w:val="11"/>
  </w:num>
  <w:num w:numId="3" w16cid:durableId="108479055">
    <w:abstractNumId w:val="16"/>
  </w:num>
  <w:num w:numId="4" w16cid:durableId="39861251">
    <w:abstractNumId w:val="23"/>
  </w:num>
  <w:num w:numId="5" w16cid:durableId="6212305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7024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9291500">
    <w:abstractNumId w:val="6"/>
  </w:num>
  <w:num w:numId="8" w16cid:durableId="1056126891">
    <w:abstractNumId w:val="20"/>
  </w:num>
  <w:num w:numId="9" w16cid:durableId="253250326">
    <w:abstractNumId w:val="25"/>
  </w:num>
  <w:num w:numId="10" w16cid:durableId="1038431573">
    <w:abstractNumId w:val="13"/>
  </w:num>
  <w:num w:numId="11" w16cid:durableId="513419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098816">
    <w:abstractNumId w:val="15"/>
  </w:num>
  <w:num w:numId="13" w16cid:durableId="1708022276">
    <w:abstractNumId w:val="21"/>
  </w:num>
  <w:num w:numId="14" w16cid:durableId="62217268">
    <w:abstractNumId w:val="27"/>
  </w:num>
  <w:num w:numId="15" w16cid:durableId="12348085">
    <w:abstractNumId w:val="12"/>
  </w:num>
  <w:num w:numId="16" w16cid:durableId="16931797">
    <w:abstractNumId w:val="2"/>
  </w:num>
  <w:num w:numId="17" w16cid:durableId="1583447401">
    <w:abstractNumId w:val="1"/>
  </w:num>
  <w:num w:numId="18" w16cid:durableId="1850637796">
    <w:abstractNumId w:val="0"/>
  </w:num>
  <w:num w:numId="19" w16cid:durableId="1238973883">
    <w:abstractNumId w:val="14"/>
  </w:num>
  <w:num w:numId="20" w16cid:durableId="1384213159">
    <w:abstractNumId w:val="10"/>
  </w:num>
  <w:num w:numId="21" w16cid:durableId="1591349561">
    <w:abstractNumId w:val="22"/>
  </w:num>
  <w:num w:numId="22" w16cid:durableId="630021548">
    <w:abstractNumId w:val="8"/>
  </w:num>
  <w:num w:numId="23" w16cid:durableId="342820850">
    <w:abstractNumId w:val="9"/>
  </w:num>
  <w:num w:numId="24" w16cid:durableId="1556506838">
    <w:abstractNumId w:val="19"/>
  </w:num>
  <w:num w:numId="25" w16cid:durableId="440535060">
    <w:abstractNumId w:val="5"/>
  </w:num>
  <w:num w:numId="26" w16cid:durableId="2102218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712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8078962">
    <w:abstractNumId w:val="26"/>
  </w:num>
  <w:num w:numId="29" w16cid:durableId="530917902">
    <w:abstractNumId w:val="7"/>
  </w:num>
  <w:num w:numId="30" w16cid:durableId="1932541713">
    <w:abstractNumId w:val="4"/>
  </w:num>
  <w:num w:numId="31" w16cid:durableId="121080095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Yc+n6I8SF3uktjt9pJwQ6Tls6pazDHXXYloadbM3IABfJCwT+NHaQbFlmXKemLfj+EfBh0tRACpEWSHAe/sJGA==" w:salt="CybjV4pN5rvfYfWdxRDDXw=="/>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A61CB"/>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16B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5A11"/>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1359"/>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B3681"/>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2873"/>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53AE"/>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210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Props1.xml><?xml version="1.0" encoding="utf-8"?>
<ds:datastoreItem xmlns:ds="http://schemas.openxmlformats.org/officeDocument/2006/customXml" ds:itemID="{E79D5424-7FDA-40CD-A838-0BE15F7F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68385F7B-F9A1-40D1-9E5C-0A95EB125593}">
  <ds:schemaRefs>
    <ds:schemaRef ds:uri="http://purl.org/dc/terms/"/>
    <ds:schemaRef ds:uri="http://purl.org/dc/dcmitype/"/>
    <ds:schemaRef ds:uri="http://schemas.microsoft.com/office/2006/documentManagement/types"/>
    <ds:schemaRef ds:uri="http://schemas.openxmlformats.org/package/2006/metadata/core-properties"/>
    <ds:schemaRef ds:uri="9468cc14-f6fd-4595-bdbd-1f95e1a4be57"/>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3857</Words>
  <Characters>21214</Characters>
  <Application>Microsoft Office Word</Application>
  <DocSecurity>12</DocSecurity>
  <Lines>176</Lines>
  <Paragraphs>50</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25021</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Díaz Jiménez</cp:lastModifiedBy>
  <cp:revision>2</cp:revision>
  <cp:lastPrinted>2015-09-14T11:28:00Z</cp:lastPrinted>
  <dcterms:created xsi:type="dcterms:W3CDTF">2024-01-15T13:35:00Z</dcterms:created>
  <dcterms:modified xsi:type="dcterms:W3CDTF">2024-01-15T13:35:00Z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