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761B13">
      <w:pPr>
        <w:spacing w:before="120" w:after="0"/>
        <w:jc w:val="both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761B13">
        <w:rPr>
          <w:rFonts w:ascii="Arial" w:hAnsi="Arial" w:cs="Arial"/>
          <w:b/>
          <w:i/>
          <w:iCs/>
          <w:sz w:val="18"/>
          <w:u w:val="single"/>
        </w:rPr>
        <w:t>NO</w:t>
      </w:r>
      <w:r w:rsidRPr="00761B13">
        <w:rPr>
          <w:rFonts w:ascii="Arial" w:hAnsi="Arial" w:cs="Arial"/>
          <w:b/>
          <w:i/>
          <w:iCs/>
          <w:sz w:val="18"/>
        </w:rPr>
        <w:t xml:space="preserve"> se encuentra sometido al procedimiento de Evaluación de Impacto Ambiental</w:t>
      </w:r>
      <w:r w:rsidRPr="001970ED">
        <w:rPr>
          <w:rFonts w:ascii="Arial" w:hAnsi="Arial" w:cs="Arial"/>
          <w:i/>
          <w:iCs/>
          <w:sz w:val="18"/>
        </w:rPr>
        <w:t>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53FC00C6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 xml:space="preserve">Empresa: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56D99E3E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</w:t>
      </w:r>
      <w:bookmarkStart w:id="0" w:name="_Hlk215049360"/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  <w:bookmarkEnd w:id="0"/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47DA0B75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D./Dª.: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>con N.I.F…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3F4C675F" w:rsidR="000F6F72" w:rsidRDefault="00B34892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actuando en calidad de representante, en virtud del poder otorgado con fecha: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t xml:space="preserve"> 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separate"/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end"/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</w:p>
    <w:p w14:paraId="0FC7E0C4" w14:textId="77777777" w:rsidR="00211F1E" w:rsidRDefault="00211F1E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</w:p>
    <w:p w14:paraId="4AB282AB" w14:textId="3988A81B" w:rsidR="00211F1E" w:rsidRDefault="00211F1E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>
        <w:rPr>
          <w:rFonts w:ascii="Verdana" w:eastAsia="Times New Roman" w:hAnsi="Verdana" w:cs="Arial"/>
          <w:sz w:val="18"/>
          <w:szCs w:val="18"/>
          <w:lang w:eastAsia="es-ES"/>
        </w:rPr>
        <w:t xml:space="preserve">para el proyecto subvencionado con nº de expediente 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4E90440B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  <w:r w:rsidR="00826B20" w:rsidRPr="00D32A6E">
              <w:rPr>
                <w:rFonts w:ascii="Verdana" w:hAnsi="Verdana"/>
                <w:sz w:val="16"/>
                <w:szCs w:val="16"/>
              </w:rPr>
              <w:t xml:space="preserve"> A la hora de evaluar una actividad económica,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072B00A0" w:rsidR="00BE552B" w:rsidRPr="00C13DF3" w:rsidRDefault="00A41A03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C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397439" w14:textId="550EA203" w:rsidR="00C13DF3" w:rsidRPr="00C13DF3" w:rsidRDefault="00A41A03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D64F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A41A03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A41A03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417ADFD4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A41A03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6FD2F3FE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 fin de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ejecución de proyecto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C3572F">
        <w:trPr>
          <w:trHeight w:val="1572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E05" w14:textId="4DC52459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387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6ED294E3" w:rsidR="00FF3194" w:rsidRPr="00BA00EC" w:rsidRDefault="00A41A03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20161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0324" w14:textId="4F7B27A4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12054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C2577D2" w:rsidR="006239D5" w:rsidRPr="006239D5" w:rsidRDefault="00A41A03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433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5C04D131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spacing w:after="120"/>
              <w:ind w:left="634" w:hanging="385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42614930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spacing w:after="120"/>
              <w:ind w:left="634" w:hanging="3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7CB2949F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ind w:left="634" w:hanging="385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r w:rsidR="00B7536C"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con relación a</w:t>
            </w: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52AB2" w14:textId="542A6589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96865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418971B7" w:rsidR="001E4B2E" w:rsidRPr="00BA00EC" w:rsidRDefault="00A41A03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19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4F4D" w14:textId="1D2EF45A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666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52D90FFB" w:rsidR="00610F13" w:rsidRPr="00BA00EC" w:rsidRDefault="00A41A03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232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47C5" w14:textId="3952F056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192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66D9DE79" w:rsidR="00D2254D" w:rsidRPr="006239D5" w:rsidRDefault="00A41A03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31829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2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☒</w:t>
                </w:r>
              </w:sdtContent>
            </w:sdt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233E3014" w:rsidR="00FC61F4" w:rsidRPr="000813B3" w:rsidRDefault="00FC61F4" w:rsidP="000813B3">
            <w:pPr>
              <w:pStyle w:val="Prrafodelista"/>
              <w:numPr>
                <w:ilvl w:val="0"/>
                <w:numId w:val="10"/>
              </w:numPr>
              <w:spacing w:after="120"/>
              <w:ind w:left="492" w:hanging="24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11FD8BC7" w:rsidR="00FC61F4" w:rsidRPr="000813B3" w:rsidRDefault="00FC61F4" w:rsidP="000813B3">
            <w:pPr>
              <w:pStyle w:val="Prrafodelista"/>
              <w:numPr>
                <w:ilvl w:val="0"/>
                <w:numId w:val="10"/>
              </w:numPr>
              <w:ind w:left="634" w:hanging="385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3FF806D1" w14:textId="60E6AD63" w:rsidR="00FC61F4" w:rsidRPr="00BA00EC" w:rsidRDefault="00A41A03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013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  <w:r w:rsidR="00826B20"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0813B3" w:rsidRPr="00BA00EC" w14:paraId="30ECAA2A" w14:textId="77777777" w:rsidTr="00165930">
        <w:trPr>
          <w:trHeight w:val="102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C51316" w14:textId="6CDF25E2" w:rsidR="000813B3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Mitigación del cambio climático, equipos y componentes</w:t>
            </w:r>
          </w:p>
          <w:p w14:paraId="6248C171" w14:textId="40C44CBD" w:rsidR="000813B3" w:rsidRPr="00EB270C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F2CE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BANCHA ANCHA Y REDES 5G: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 incluirá como requisito de implementación de las actuaciones que:</w:t>
            </w:r>
          </w:p>
          <w:p w14:paraId="07D9AC45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fabricantes de los equipos y componentes adquiridos en el marco de la actuación, el operador de la red y/o el proveedor de los servicios de red se han adherido al Código de conducta europeo sobre consumo energético de equipos de banda ancha;</w:t>
            </w:r>
          </w:p>
          <w:p w14:paraId="1C31F15B" w14:textId="7D17CBED" w:rsidR="000813B3" w:rsidRPr="00BA00EC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 - O el 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beneficiario demuestra que realiza los mayores esfuerzos para implementar prácticas relevantes sobre eficiencia energética en los equipos e instalaciones</w:t>
            </w:r>
            <w:r w:rsidR="008048F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AA01C6" w:rsidRPr="008048F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 xml:space="preserve"> </w:t>
            </w:r>
            <w:r w:rsidR="00A647CC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7050" w14:textId="77777777" w:rsidR="000813B3" w:rsidRDefault="000813B3" w:rsidP="000813B3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2675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8855ED4" w14:textId="77777777" w:rsidR="000813B3" w:rsidRDefault="000813B3" w:rsidP="000813B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304F9B7" w14:textId="5B4D74BF" w:rsidR="000813B3" w:rsidRPr="00FC61F4" w:rsidRDefault="00A41A03" w:rsidP="000813B3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26958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0813B3" w:rsidRPr="00BA00EC" w14:paraId="61A5ECFE" w14:textId="77777777" w:rsidTr="000813B3">
        <w:trPr>
          <w:trHeight w:val="1735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D68F4" w14:textId="77777777" w:rsidR="000813B3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A1F3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CENTROS DE DATOS.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 incluirá como requisito de implementación de las actuaciones que:</w:t>
            </w:r>
          </w:p>
          <w:p w14:paraId="1C5C8FD1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fabricantes de los equipos y componentes adquiridos en el marco de la actuación, seguirán la versión más reciente del Código de conducta europeo sobre eficiencia energética de centros de datos, o el documento CEN-CENELEC CLC TR50600-99-1 "Instalaciones e infraestructuras de centros de datos - Parte 99-1: Prácticas recomendadas para la gestión energética”.</w:t>
            </w:r>
          </w:p>
          <w:p w14:paraId="260602AB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</w:t>
            </w:r>
          </w:p>
          <w:p w14:paraId="1500321C" w14:textId="14F73391" w:rsidR="000813B3" w:rsidRPr="00BA00EC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O el beneficiario demuestra que realiza los mayores esfuerzos para implementar prácticas relevantes sobre eficiencia energética en los equipos e instalaciones</w:t>
            </w:r>
            <w:r w:rsidR="00AA01C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A647CC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6037" w14:textId="261CDFC4" w:rsidR="000813B3" w:rsidRDefault="000813B3" w:rsidP="000813B3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2311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1C6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217CE5D7" w14:textId="77777777" w:rsidR="000813B3" w:rsidRDefault="000813B3" w:rsidP="000813B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38F0B01" w14:textId="4F8A2400" w:rsidR="000813B3" w:rsidRDefault="00A41A03" w:rsidP="000813B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00226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553728" w14:textId="3AFC72C6" w:rsidR="000F2672" w:rsidRDefault="006D64F5" w:rsidP="00C13DF3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Firmado electrónicamente</w:t>
      </w:r>
    </w:p>
    <w:p w14:paraId="1703D5AC" w14:textId="77777777" w:rsidR="00C553DF" w:rsidRPr="00C553DF" w:rsidRDefault="00C553DF" w:rsidP="00C553DF">
      <w:pPr>
        <w:rPr>
          <w:rFonts w:ascii="Arial" w:hAnsi="Arial" w:cs="Arial"/>
        </w:rPr>
      </w:pPr>
    </w:p>
    <w:p w14:paraId="7F7EBFDF" w14:textId="77777777" w:rsidR="00C553DF" w:rsidRPr="00C553DF" w:rsidRDefault="00C553DF" w:rsidP="00C553DF">
      <w:pPr>
        <w:rPr>
          <w:rFonts w:ascii="Arial" w:hAnsi="Arial" w:cs="Arial"/>
        </w:rPr>
      </w:pPr>
    </w:p>
    <w:p w14:paraId="0D7A8462" w14:textId="77777777" w:rsidR="00C553DF" w:rsidRPr="00C553DF" w:rsidRDefault="00C553DF" w:rsidP="00C553DF">
      <w:pPr>
        <w:rPr>
          <w:rFonts w:ascii="Arial" w:hAnsi="Arial" w:cs="Arial"/>
        </w:rPr>
      </w:pPr>
    </w:p>
    <w:p w14:paraId="0A5480B1" w14:textId="77777777" w:rsidR="00C553DF" w:rsidRPr="00C553DF" w:rsidRDefault="00C553DF" w:rsidP="00C553DF">
      <w:pPr>
        <w:rPr>
          <w:rFonts w:ascii="Arial" w:hAnsi="Arial" w:cs="Arial"/>
        </w:rPr>
      </w:pPr>
    </w:p>
    <w:p w14:paraId="47AAD0A2" w14:textId="77777777" w:rsidR="00C553DF" w:rsidRPr="00C553DF" w:rsidRDefault="00C553DF" w:rsidP="00C553DF">
      <w:pPr>
        <w:rPr>
          <w:rFonts w:ascii="Arial" w:hAnsi="Arial" w:cs="Arial"/>
        </w:rPr>
      </w:pPr>
    </w:p>
    <w:p w14:paraId="0486223B" w14:textId="77777777" w:rsidR="00C553DF" w:rsidRPr="00C553DF" w:rsidRDefault="00C553DF" w:rsidP="00C553DF">
      <w:pPr>
        <w:rPr>
          <w:rFonts w:ascii="Arial" w:hAnsi="Arial" w:cs="Arial"/>
        </w:rPr>
      </w:pPr>
    </w:p>
    <w:sectPr w:rsidR="00C553DF" w:rsidRPr="00C553DF" w:rsidSect="003E0C24">
      <w:headerReference w:type="default" r:id="rId11"/>
      <w:footerReference w:type="default" r:id="rId12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59C4" w14:textId="77777777" w:rsidR="00C86476" w:rsidRDefault="00C86476" w:rsidP="00C13DF3">
      <w:pPr>
        <w:spacing w:after="0" w:line="240" w:lineRule="auto"/>
      </w:pPr>
      <w:r>
        <w:separator/>
      </w:r>
    </w:p>
  </w:endnote>
  <w:endnote w:type="continuationSeparator" w:id="0">
    <w:p w14:paraId="0D5C5423" w14:textId="77777777" w:rsidR="00C86476" w:rsidRDefault="00C86476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232" w14:textId="07D29F2D" w:rsidR="00BA00EC" w:rsidRPr="00FF3194" w:rsidRDefault="00962FA7" w:rsidP="00962FA7">
    <w:pPr>
      <w:ind w:right="260"/>
      <w:jc w:val="right"/>
      <w:rPr>
        <w:color w:val="222A35" w:themeColor="text2" w:themeShade="80"/>
        <w:sz w:val="20"/>
        <w:szCs w:val="20"/>
      </w:rPr>
    </w:pPr>
    <w:r>
      <w:rPr>
        <w:noProof/>
        <w:color w:val="8496B0" w:themeColor="text2" w:themeTint="99"/>
        <w:spacing w:val="60"/>
        <w:sz w:val="20"/>
        <w:szCs w:val="20"/>
      </w:rPr>
      <w:drawing>
        <wp:inline distT="0" distB="0" distL="0" distR="0" wp14:anchorId="36313D37" wp14:editId="60728B1F">
          <wp:extent cx="4996516" cy="511175"/>
          <wp:effectExtent l="0" t="0" r="0" b="3175"/>
          <wp:docPr id="1274111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11189" name="Imagen 1274111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189" cy="5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0EC" w:rsidRPr="00FF3194">
      <w:rPr>
        <w:color w:val="8496B0" w:themeColor="text2" w:themeTint="99"/>
        <w:spacing w:val="60"/>
        <w:sz w:val="20"/>
        <w:szCs w:val="20"/>
      </w:rPr>
      <w:t>Página</w:t>
    </w:r>
    <w:r w:rsidR="00BA00EC" w:rsidRPr="00FF3194">
      <w:rPr>
        <w:color w:val="8496B0" w:themeColor="text2" w:themeTint="99"/>
        <w:sz w:val="20"/>
        <w:szCs w:val="20"/>
      </w:rPr>
      <w:t xml:space="preserve">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PAGE 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  <w:r w:rsidR="00BA00EC" w:rsidRPr="00FF3194">
      <w:rPr>
        <w:color w:val="323E4F" w:themeColor="text2" w:themeShade="BF"/>
        <w:sz w:val="20"/>
        <w:szCs w:val="20"/>
      </w:rPr>
      <w:t xml:space="preserve"> |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NUMPAGES  \* Arabic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C43D" w14:textId="77777777" w:rsidR="00C86476" w:rsidRDefault="00C86476" w:rsidP="00C13DF3">
      <w:pPr>
        <w:spacing w:after="0" w:line="240" w:lineRule="auto"/>
      </w:pPr>
      <w:r>
        <w:separator/>
      </w:r>
    </w:p>
  </w:footnote>
  <w:footnote w:type="continuationSeparator" w:id="0">
    <w:p w14:paraId="4CC90D42" w14:textId="77777777" w:rsidR="00C86476" w:rsidRDefault="00C86476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Pr="00C3572F" w:rsidRDefault="00705E59" w:rsidP="00705E59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la ficha técnica de los productos/equipos y/o certificado del director de obra.</w:t>
      </w:r>
    </w:p>
  </w:footnote>
  <w:footnote w:id="2">
    <w:p w14:paraId="0A09E1B9" w14:textId="77777777" w:rsidR="00705E59" w:rsidRPr="00C3572F" w:rsidRDefault="00705E59" w:rsidP="00705E59">
      <w:pPr>
        <w:pStyle w:val="Textonotapie"/>
        <w:jc w:val="both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Pr="00C3572F" w:rsidRDefault="001E4B2E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director de obra.</w:t>
      </w:r>
    </w:p>
  </w:footnote>
  <w:footnote w:id="4">
    <w:p w14:paraId="486A3AC3" w14:textId="2D9B131B" w:rsidR="001E4B2E" w:rsidRPr="00C3572F" w:rsidRDefault="001E4B2E" w:rsidP="001E4B2E">
      <w:pPr>
        <w:pStyle w:val="Textonotapie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el estudio de gestión de los residuos del proyecto (si hubiere</w:t>
      </w:r>
      <w:r w:rsidR="00AD1F55" w:rsidRPr="00C3572F">
        <w:rPr>
          <w:sz w:val="18"/>
          <w:szCs w:val="18"/>
        </w:rPr>
        <w:t xml:space="preserve"> obligación de disponerlo</w:t>
      </w:r>
      <w:r w:rsidRPr="00C3572F">
        <w:rPr>
          <w:sz w:val="18"/>
          <w:szCs w:val="18"/>
        </w:rPr>
        <w:t>) o certificado del director de obra</w:t>
      </w:r>
      <w:r w:rsidR="00C3572F" w:rsidRPr="00C3572F">
        <w:rPr>
          <w:sz w:val="18"/>
          <w:szCs w:val="18"/>
        </w:rPr>
        <w:t>, documento de traslado de residuos expedido por el gestor de residuos, Plan de gestión de residuos</w:t>
      </w:r>
      <w:r w:rsidRPr="00C3572F">
        <w:rPr>
          <w:sz w:val="18"/>
          <w:szCs w:val="18"/>
        </w:rPr>
        <w:t>.</w:t>
      </w:r>
    </w:p>
  </w:footnote>
  <w:footnote w:id="5">
    <w:p w14:paraId="4E587C36" w14:textId="606EF492" w:rsidR="00705E59" w:rsidRPr="00C3572F" w:rsidRDefault="00705E59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director de obra.</w:t>
      </w:r>
    </w:p>
  </w:footnote>
  <w:footnote w:id="6">
    <w:p w14:paraId="4FBD2077" w14:textId="6BC8F66D" w:rsidR="00705E59" w:rsidRPr="00C3572F" w:rsidRDefault="00705E59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constructor o del director de obra con base en las fichas de producto de los materiales utilizados.</w:t>
      </w:r>
    </w:p>
  </w:footnote>
  <w:footnote w:id="7">
    <w:p w14:paraId="4AE29994" w14:textId="77777777" w:rsidR="00A647CC" w:rsidRPr="00C3572F" w:rsidRDefault="00A647CC" w:rsidP="00A647CC">
      <w:pPr>
        <w:pStyle w:val="Textonotaalfinal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documento de adhesión al Código de conducta europeo sobre consumo energético de equipos de banda ancha del fabricante de equipos o componentes o del operador o proveedor de servicios. Marcado de equipos en materia de eficiencia energética del fabricante de equipos o componentes. Certificado de eficiencia energética del fabricante de equipos o componentes. Informe sobre implementación de mejores prácticas en materia de eficiencia energética del operador o proveedor de servicios. Documentación de fichas técnicas de los equipos.</w:t>
      </w:r>
    </w:p>
    <w:p w14:paraId="67DE3C46" w14:textId="722AAD03" w:rsidR="00A647CC" w:rsidRDefault="00A647CC">
      <w:pPr>
        <w:pStyle w:val="Textonotapie"/>
      </w:pPr>
    </w:p>
  </w:footnote>
  <w:footnote w:id="8">
    <w:p w14:paraId="23C987B5" w14:textId="1E7F2ACB" w:rsidR="00A647CC" w:rsidRDefault="00A647C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09291E" w:rsidRPr="00C3572F">
        <w:rPr>
          <w:sz w:val="18"/>
          <w:szCs w:val="18"/>
        </w:rPr>
        <w:t>Se podrá acreditar mediante documento de adhesión al Código de conducta europeo sobre eficiencia energética de centros de datos del fabricante de equipos o componentes o del operador o proveedor de servicios. Informe sobre implementación de mejores prácticas en materia de gestión de la energía en Instalaciones e Infraestructuras de centros de datos, Doc CEN-CENELEC CLC TR 50600-99- 1, del operador o proveedor de servicios.</w:t>
      </w:r>
      <w:r w:rsidR="0009291E">
        <w:rPr>
          <w:sz w:val="18"/>
          <w:szCs w:val="18"/>
        </w:rPr>
        <w:t xml:space="preserve"> </w:t>
      </w:r>
      <w:r w:rsidR="0009291E" w:rsidRPr="00C3572F">
        <w:rPr>
          <w:sz w:val="18"/>
          <w:szCs w:val="18"/>
        </w:rPr>
        <w:t>Documentación técnica de los equipos</w:t>
      </w:r>
      <w:r w:rsidR="0009291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7AA5" w14:textId="0DDBC32F" w:rsidR="00962FA7" w:rsidRDefault="00962FA7">
    <w:pPr>
      <w:pStyle w:val="Encabezado"/>
    </w:pPr>
    <w:r>
      <w:rPr>
        <w:noProof/>
      </w:rPr>
      <w:drawing>
        <wp:inline distT="0" distB="0" distL="0" distR="0" wp14:anchorId="42DB904E" wp14:editId="3CA1FF1B">
          <wp:extent cx="1608314" cy="653028"/>
          <wp:effectExtent l="0" t="0" r="0" b="0"/>
          <wp:docPr id="623353435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53435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39" cy="66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24"/>
    <w:multiLevelType w:val="hybridMultilevel"/>
    <w:tmpl w:val="396E7932"/>
    <w:lvl w:ilvl="0" w:tplc="86BEA1D6">
      <w:start w:val="1"/>
      <w:numFmt w:val="lowerRoman"/>
      <w:lvlText w:val="(%1)"/>
      <w:lvlJc w:val="left"/>
      <w:pPr>
        <w:ind w:left="96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9" w:hanging="360"/>
      </w:pPr>
    </w:lvl>
    <w:lvl w:ilvl="2" w:tplc="0C0A001B" w:tentative="1">
      <w:start w:val="1"/>
      <w:numFmt w:val="lowerRoman"/>
      <w:lvlText w:val="%3."/>
      <w:lvlJc w:val="right"/>
      <w:pPr>
        <w:ind w:left="2049" w:hanging="180"/>
      </w:pPr>
    </w:lvl>
    <w:lvl w:ilvl="3" w:tplc="0C0A000F" w:tentative="1">
      <w:start w:val="1"/>
      <w:numFmt w:val="decimal"/>
      <w:lvlText w:val="%4."/>
      <w:lvlJc w:val="left"/>
      <w:pPr>
        <w:ind w:left="2769" w:hanging="360"/>
      </w:pPr>
    </w:lvl>
    <w:lvl w:ilvl="4" w:tplc="0C0A0019" w:tentative="1">
      <w:start w:val="1"/>
      <w:numFmt w:val="lowerLetter"/>
      <w:lvlText w:val="%5."/>
      <w:lvlJc w:val="left"/>
      <w:pPr>
        <w:ind w:left="3489" w:hanging="360"/>
      </w:pPr>
    </w:lvl>
    <w:lvl w:ilvl="5" w:tplc="0C0A001B" w:tentative="1">
      <w:start w:val="1"/>
      <w:numFmt w:val="lowerRoman"/>
      <w:lvlText w:val="%6."/>
      <w:lvlJc w:val="right"/>
      <w:pPr>
        <w:ind w:left="4209" w:hanging="180"/>
      </w:pPr>
    </w:lvl>
    <w:lvl w:ilvl="6" w:tplc="0C0A000F" w:tentative="1">
      <w:start w:val="1"/>
      <w:numFmt w:val="decimal"/>
      <w:lvlText w:val="%7."/>
      <w:lvlJc w:val="left"/>
      <w:pPr>
        <w:ind w:left="4929" w:hanging="360"/>
      </w:pPr>
    </w:lvl>
    <w:lvl w:ilvl="7" w:tplc="0C0A0019" w:tentative="1">
      <w:start w:val="1"/>
      <w:numFmt w:val="lowerLetter"/>
      <w:lvlText w:val="%8."/>
      <w:lvlJc w:val="left"/>
      <w:pPr>
        <w:ind w:left="5649" w:hanging="360"/>
      </w:pPr>
    </w:lvl>
    <w:lvl w:ilvl="8" w:tplc="0C0A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3F5C"/>
    <w:multiLevelType w:val="hybridMultilevel"/>
    <w:tmpl w:val="B5DC6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4DF1"/>
    <w:multiLevelType w:val="hybridMultilevel"/>
    <w:tmpl w:val="D68E8426"/>
    <w:lvl w:ilvl="0" w:tplc="45B6DB68">
      <w:start w:val="1"/>
      <w:numFmt w:val="lowerRoman"/>
      <w:lvlText w:val="(%1)"/>
      <w:lvlJc w:val="left"/>
      <w:pPr>
        <w:ind w:left="96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9" w:hanging="360"/>
      </w:pPr>
    </w:lvl>
    <w:lvl w:ilvl="2" w:tplc="0C0A001B" w:tentative="1">
      <w:start w:val="1"/>
      <w:numFmt w:val="lowerRoman"/>
      <w:lvlText w:val="%3."/>
      <w:lvlJc w:val="right"/>
      <w:pPr>
        <w:ind w:left="2049" w:hanging="180"/>
      </w:pPr>
    </w:lvl>
    <w:lvl w:ilvl="3" w:tplc="0C0A000F" w:tentative="1">
      <w:start w:val="1"/>
      <w:numFmt w:val="decimal"/>
      <w:lvlText w:val="%4."/>
      <w:lvlJc w:val="left"/>
      <w:pPr>
        <w:ind w:left="2769" w:hanging="360"/>
      </w:pPr>
    </w:lvl>
    <w:lvl w:ilvl="4" w:tplc="0C0A0019" w:tentative="1">
      <w:start w:val="1"/>
      <w:numFmt w:val="lowerLetter"/>
      <w:lvlText w:val="%5."/>
      <w:lvlJc w:val="left"/>
      <w:pPr>
        <w:ind w:left="3489" w:hanging="360"/>
      </w:pPr>
    </w:lvl>
    <w:lvl w:ilvl="5" w:tplc="0C0A001B" w:tentative="1">
      <w:start w:val="1"/>
      <w:numFmt w:val="lowerRoman"/>
      <w:lvlText w:val="%6."/>
      <w:lvlJc w:val="right"/>
      <w:pPr>
        <w:ind w:left="4209" w:hanging="180"/>
      </w:pPr>
    </w:lvl>
    <w:lvl w:ilvl="6" w:tplc="0C0A000F" w:tentative="1">
      <w:start w:val="1"/>
      <w:numFmt w:val="decimal"/>
      <w:lvlText w:val="%7."/>
      <w:lvlJc w:val="left"/>
      <w:pPr>
        <w:ind w:left="4929" w:hanging="360"/>
      </w:pPr>
    </w:lvl>
    <w:lvl w:ilvl="7" w:tplc="0C0A0019" w:tentative="1">
      <w:start w:val="1"/>
      <w:numFmt w:val="lowerLetter"/>
      <w:lvlText w:val="%8."/>
      <w:lvlJc w:val="left"/>
      <w:pPr>
        <w:ind w:left="5649" w:hanging="360"/>
      </w:pPr>
    </w:lvl>
    <w:lvl w:ilvl="8" w:tplc="0C0A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8"/>
  </w:num>
  <w:num w:numId="5" w16cid:durableId="2043749007">
    <w:abstractNumId w:val="2"/>
  </w:num>
  <w:num w:numId="6" w16cid:durableId="1287347263">
    <w:abstractNumId w:val="3"/>
  </w:num>
  <w:num w:numId="7" w16cid:durableId="1842313077">
    <w:abstractNumId w:val="5"/>
  </w:num>
  <w:num w:numId="8" w16cid:durableId="613367748">
    <w:abstractNumId w:val="0"/>
  </w:num>
  <w:num w:numId="9" w16cid:durableId="2082677035">
    <w:abstractNumId w:val="6"/>
  </w:num>
  <w:num w:numId="10" w16cid:durableId="481040990">
    <w:abstractNumId w:val="1"/>
  </w:num>
  <w:num w:numId="11" w16cid:durableId="1275091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+oJiCgKrb05A3dN8BOKaOAWKG8nrEbi3ijR5Vy5EmOkpel6JtxooXU+1iDT6dlwWQBCBMDtGOjYxSRwbR0wJg==" w:salt="Hb+c1lP+Wp+kcfCDC+qC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1188D"/>
    <w:rsid w:val="000813B3"/>
    <w:rsid w:val="0009291E"/>
    <w:rsid w:val="000A5361"/>
    <w:rsid w:val="000D5D32"/>
    <w:rsid w:val="000F2672"/>
    <w:rsid w:val="000F6F72"/>
    <w:rsid w:val="0010075D"/>
    <w:rsid w:val="00132A89"/>
    <w:rsid w:val="001619BD"/>
    <w:rsid w:val="00165930"/>
    <w:rsid w:val="00166309"/>
    <w:rsid w:val="00175C5A"/>
    <w:rsid w:val="001970ED"/>
    <w:rsid w:val="001E4B2E"/>
    <w:rsid w:val="001F175C"/>
    <w:rsid w:val="00206D0C"/>
    <w:rsid w:val="00211F1E"/>
    <w:rsid w:val="00260602"/>
    <w:rsid w:val="002A720A"/>
    <w:rsid w:val="002E5ECF"/>
    <w:rsid w:val="002E78A6"/>
    <w:rsid w:val="00300C0B"/>
    <w:rsid w:val="003071CB"/>
    <w:rsid w:val="00334387"/>
    <w:rsid w:val="00387D29"/>
    <w:rsid w:val="0039540A"/>
    <w:rsid w:val="003A6A38"/>
    <w:rsid w:val="003B0EB0"/>
    <w:rsid w:val="003E0C24"/>
    <w:rsid w:val="00434EF5"/>
    <w:rsid w:val="004653B6"/>
    <w:rsid w:val="00471516"/>
    <w:rsid w:val="004A3436"/>
    <w:rsid w:val="004F11F6"/>
    <w:rsid w:val="004F42E9"/>
    <w:rsid w:val="005464B5"/>
    <w:rsid w:val="00610F13"/>
    <w:rsid w:val="00616E40"/>
    <w:rsid w:val="006239D5"/>
    <w:rsid w:val="00643A6B"/>
    <w:rsid w:val="00662737"/>
    <w:rsid w:val="006D0626"/>
    <w:rsid w:val="006D64F5"/>
    <w:rsid w:val="00705E59"/>
    <w:rsid w:val="00732AC5"/>
    <w:rsid w:val="00761B13"/>
    <w:rsid w:val="007B1DE0"/>
    <w:rsid w:val="008048FC"/>
    <w:rsid w:val="00826B20"/>
    <w:rsid w:val="00843784"/>
    <w:rsid w:val="00864558"/>
    <w:rsid w:val="008D17D8"/>
    <w:rsid w:val="008D35EE"/>
    <w:rsid w:val="00924CA3"/>
    <w:rsid w:val="0093335F"/>
    <w:rsid w:val="00962FA7"/>
    <w:rsid w:val="00974128"/>
    <w:rsid w:val="0098776C"/>
    <w:rsid w:val="00990D85"/>
    <w:rsid w:val="009951B5"/>
    <w:rsid w:val="009A6AEC"/>
    <w:rsid w:val="009B0208"/>
    <w:rsid w:val="009E4428"/>
    <w:rsid w:val="00A41A03"/>
    <w:rsid w:val="00A47151"/>
    <w:rsid w:val="00A549B1"/>
    <w:rsid w:val="00A647CC"/>
    <w:rsid w:val="00AA01C6"/>
    <w:rsid w:val="00AC3EB1"/>
    <w:rsid w:val="00AC50AC"/>
    <w:rsid w:val="00AC7392"/>
    <w:rsid w:val="00AD1F55"/>
    <w:rsid w:val="00B34892"/>
    <w:rsid w:val="00B670BB"/>
    <w:rsid w:val="00B7536C"/>
    <w:rsid w:val="00BA00EC"/>
    <w:rsid w:val="00BD4742"/>
    <w:rsid w:val="00BE552B"/>
    <w:rsid w:val="00BF0500"/>
    <w:rsid w:val="00C0283B"/>
    <w:rsid w:val="00C13DF3"/>
    <w:rsid w:val="00C15D27"/>
    <w:rsid w:val="00C1722E"/>
    <w:rsid w:val="00C3572F"/>
    <w:rsid w:val="00C42484"/>
    <w:rsid w:val="00C553DF"/>
    <w:rsid w:val="00C702F5"/>
    <w:rsid w:val="00C86476"/>
    <w:rsid w:val="00D2254D"/>
    <w:rsid w:val="00D25AAD"/>
    <w:rsid w:val="00D64959"/>
    <w:rsid w:val="00D971E2"/>
    <w:rsid w:val="00DA1649"/>
    <w:rsid w:val="00DB1D96"/>
    <w:rsid w:val="00DC7A3A"/>
    <w:rsid w:val="00DE0E69"/>
    <w:rsid w:val="00DF500B"/>
    <w:rsid w:val="00DF7831"/>
    <w:rsid w:val="00E73411"/>
    <w:rsid w:val="00E857A6"/>
    <w:rsid w:val="00EB270C"/>
    <w:rsid w:val="00EB3652"/>
    <w:rsid w:val="00ED57D3"/>
    <w:rsid w:val="00ED6308"/>
    <w:rsid w:val="00ED6F46"/>
    <w:rsid w:val="00F240E7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  <w:style w:type="paragraph" w:styleId="Prrafodelista">
    <w:name w:val="List Paragraph"/>
    <w:basedOn w:val="Normal"/>
    <w:uiPriority w:val="34"/>
    <w:qFormat/>
    <w:rsid w:val="000813B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0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01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01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01C6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495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49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64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0A5361"/>
    <w:rsid w:val="00166309"/>
    <w:rsid w:val="001F175C"/>
    <w:rsid w:val="002019FF"/>
    <w:rsid w:val="003C44B8"/>
    <w:rsid w:val="0040634C"/>
    <w:rsid w:val="00434EF5"/>
    <w:rsid w:val="004653B6"/>
    <w:rsid w:val="00497A6C"/>
    <w:rsid w:val="004A3436"/>
    <w:rsid w:val="00513A26"/>
    <w:rsid w:val="00650B18"/>
    <w:rsid w:val="0069164A"/>
    <w:rsid w:val="008D17D8"/>
    <w:rsid w:val="00910E69"/>
    <w:rsid w:val="009825FB"/>
    <w:rsid w:val="0098776C"/>
    <w:rsid w:val="00990D85"/>
    <w:rsid w:val="009B2810"/>
    <w:rsid w:val="009D3A6C"/>
    <w:rsid w:val="009E4428"/>
    <w:rsid w:val="00AC3E87"/>
    <w:rsid w:val="00AC3EB1"/>
    <w:rsid w:val="00B229A3"/>
    <w:rsid w:val="00B83E3B"/>
    <w:rsid w:val="00DC7A3A"/>
    <w:rsid w:val="00DE0E69"/>
    <w:rsid w:val="00E857A6"/>
    <w:rsid w:val="00ED6308"/>
    <w:rsid w:val="00ED6F46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1297-43B2-4FA7-B72A-DEBBEEA203C0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D853D13A-24C4-487F-854F-723B951F5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FC16-26D1-4BFC-8DA7-6317485C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Mónica Torres Fernández</cp:lastModifiedBy>
  <cp:revision>2</cp:revision>
  <cp:lastPrinted>2024-02-13T11:24:00Z</cp:lastPrinted>
  <dcterms:created xsi:type="dcterms:W3CDTF">2025-12-05T08:22:00Z</dcterms:created>
  <dcterms:modified xsi:type="dcterms:W3CDTF">2025-12-05T08:22:00Z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