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0520F" w14:textId="77777777" w:rsidR="00100D20" w:rsidRPr="00975DAB" w:rsidRDefault="00100D20" w:rsidP="00510C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Verdana" w:eastAsia="Arial" w:hAnsi="Verdana" w:cs="Calibri"/>
          <w:b/>
          <w:color w:val="000000"/>
        </w:rPr>
      </w:pPr>
      <w:r w:rsidRPr="00975DAB">
        <w:rPr>
          <w:rFonts w:ascii="Verdana" w:eastAsia="Arial" w:hAnsi="Verdana" w:cs="Calibri"/>
          <w:b/>
          <w:color w:val="000000"/>
        </w:rPr>
        <w:t>MODELO DE DECLARACIÓN RESPONSABLE SOBRE EL CUMPLIMIENTO DEL PRINCIPIO DE NO PERJUICIO SIGNIFICATIVO A LOS SEIS OBJETIVOS MEDIOAMBIENTALES (DNSH) EN EL SENTIDO DEL ARTÍCULO 17 DEL REGLAMENTO (UE) 2020/852</w:t>
      </w:r>
    </w:p>
    <w:p w14:paraId="72AAC108" w14:textId="77777777" w:rsidR="00100D20" w:rsidRPr="00975DAB" w:rsidRDefault="00100D20" w:rsidP="00975DAB">
      <w:pPr>
        <w:spacing w:before="360" w:after="240" w:line="240" w:lineRule="auto"/>
        <w:jc w:val="center"/>
        <w:rPr>
          <w:rFonts w:ascii="Verdana" w:eastAsia="Times New Roman" w:hAnsi="Verdana" w:cs="Calibri"/>
          <w:b/>
        </w:rPr>
      </w:pPr>
      <w:r w:rsidRPr="00975DAB">
        <w:rPr>
          <w:rFonts w:ascii="Verdana" w:eastAsia="Times New Roman" w:hAnsi="Verdana" w:cs="Calibri"/>
          <w:b/>
        </w:rPr>
        <w:t>EL DECLARANTE:</w:t>
      </w:r>
    </w:p>
    <w:tbl>
      <w:tblPr>
        <w:tblW w:w="9356" w:type="dxa"/>
        <w:tblInd w:w="-172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1E0" w:firstRow="1" w:lastRow="1" w:firstColumn="1" w:lastColumn="1" w:noHBand="0" w:noVBand="0"/>
      </w:tblPr>
      <w:tblGrid>
        <w:gridCol w:w="1533"/>
        <w:gridCol w:w="1257"/>
        <w:gridCol w:w="4156"/>
        <w:gridCol w:w="567"/>
        <w:gridCol w:w="1843"/>
      </w:tblGrid>
      <w:tr w:rsidR="007707D5" w:rsidRPr="00975DAB" w14:paraId="3B5D5096" w14:textId="77777777" w:rsidTr="007707D5">
        <w:tc>
          <w:tcPr>
            <w:tcW w:w="153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hideMark/>
          </w:tcPr>
          <w:p w14:paraId="681C9CEA" w14:textId="24B52042" w:rsidR="007707D5" w:rsidRPr="00975DAB" w:rsidRDefault="007707D5">
            <w:pPr>
              <w:spacing w:before="20" w:after="20"/>
              <w:rPr>
                <w:rFonts w:ascii="Verdana" w:hAnsi="Verdana"/>
                <w:sz w:val="16"/>
                <w:szCs w:val="16"/>
              </w:rPr>
            </w:pPr>
            <w:r w:rsidRPr="00975DAB">
              <w:rPr>
                <w:rFonts w:ascii="Verdana" w:hAnsi="Verdana"/>
                <w:sz w:val="16"/>
                <w:szCs w:val="16"/>
              </w:rPr>
              <w:t xml:space="preserve">Don/Doña </w:t>
            </w:r>
          </w:p>
        </w:tc>
        <w:tc>
          <w:tcPr>
            <w:tcW w:w="5413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/>
            <w:hideMark/>
          </w:tcPr>
          <w:p w14:paraId="2CBC9AD2" w14:textId="77777777" w:rsidR="007707D5" w:rsidRPr="00975DAB" w:rsidRDefault="007707D5">
            <w:pPr>
              <w:spacing w:before="20" w:after="20"/>
              <w:rPr>
                <w:rFonts w:ascii="Verdana" w:hAnsi="Verdana"/>
                <w:sz w:val="16"/>
                <w:szCs w:val="16"/>
              </w:rPr>
            </w:pPr>
            <w:r w:rsidRPr="00975DA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DA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75DAB">
              <w:rPr>
                <w:rFonts w:ascii="Verdana" w:hAnsi="Verdana"/>
                <w:sz w:val="16"/>
                <w:szCs w:val="16"/>
              </w:rPr>
            </w:r>
            <w:r w:rsidRPr="00975DAB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75DAB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75DAB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75DAB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75DAB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75DAB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75DA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hideMark/>
          </w:tcPr>
          <w:p w14:paraId="5A8C2DA6" w14:textId="77777777" w:rsidR="007707D5" w:rsidRPr="00975DAB" w:rsidRDefault="007707D5">
            <w:pPr>
              <w:spacing w:before="20" w:after="20"/>
              <w:rPr>
                <w:rFonts w:ascii="Verdana" w:hAnsi="Verdana"/>
                <w:sz w:val="16"/>
                <w:szCs w:val="16"/>
              </w:rPr>
            </w:pPr>
            <w:r w:rsidRPr="00975DAB">
              <w:rPr>
                <w:rFonts w:ascii="Verdana" w:hAnsi="Verdana"/>
                <w:sz w:val="16"/>
                <w:szCs w:val="16"/>
              </w:rPr>
              <w:t>DNI</w:t>
            </w:r>
          </w:p>
        </w:tc>
        <w:tc>
          <w:tcPr>
            <w:tcW w:w="18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hideMark/>
          </w:tcPr>
          <w:p w14:paraId="4EC01E75" w14:textId="77777777" w:rsidR="007707D5" w:rsidRPr="00975DAB" w:rsidRDefault="007707D5">
            <w:pPr>
              <w:spacing w:before="20" w:after="20"/>
              <w:rPr>
                <w:rFonts w:ascii="Verdana" w:hAnsi="Verdana"/>
                <w:sz w:val="16"/>
                <w:szCs w:val="16"/>
              </w:rPr>
            </w:pPr>
            <w:r w:rsidRPr="00975DA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DA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75DAB">
              <w:rPr>
                <w:rFonts w:ascii="Verdana" w:hAnsi="Verdana"/>
                <w:sz w:val="16"/>
                <w:szCs w:val="16"/>
              </w:rPr>
            </w:r>
            <w:r w:rsidRPr="00975DAB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75DAB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75DAB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75DAB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75DAB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75DAB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75DA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707D5" w:rsidRPr="00975DAB" w14:paraId="0C814CD0" w14:textId="77777777" w:rsidTr="007707D5">
        <w:tc>
          <w:tcPr>
            <w:tcW w:w="153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14:paraId="391B96E3" w14:textId="73C91DB7" w:rsidR="007707D5" w:rsidRPr="00975DAB" w:rsidRDefault="007707D5">
            <w:pPr>
              <w:spacing w:before="20" w:after="20"/>
              <w:rPr>
                <w:rFonts w:ascii="Verdana" w:hAnsi="Verdana"/>
                <w:sz w:val="16"/>
                <w:szCs w:val="16"/>
              </w:rPr>
            </w:pPr>
            <w:r w:rsidRPr="00975DAB">
              <w:rPr>
                <w:rFonts w:ascii="Verdana" w:hAnsi="Verdana"/>
                <w:sz w:val="16"/>
                <w:szCs w:val="16"/>
              </w:rPr>
              <w:t>En calidad de</w:t>
            </w:r>
          </w:p>
        </w:tc>
        <w:tc>
          <w:tcPr>
            <w:tcW w:w="7823" w:type="dxa"/>
            <w:gridSpan w:val="4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/>
          </w:tcPr>
          <w:p w14:paraId="16711D64" w14:textId="5D42EAD5" w:rsidR="007707D5" w:rsidRPr="00975DAB" w:rsidRDefault="007707D5">
            <w:pPr>
              <w:spacing w:before="20" w:after="20"/>
              <w:rPr>
                <w:rFonts w:ascii="Verdana" w:hAnsi="Verdana"/>
                <w:sz w:val="16"/>
                <w:szCs w:val="16"/>
              </w:rPr>
            </w:pPr>
            <w:r w:rsidRPr="00975DA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DA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75DAB">
              <w:rPr>
                <w:rFonts w:ascii="Verdana" w:hAnsi="Verdana"/>
                <w:sz w:val="16"/>
                <w:szCs w:val="16"/>
              </w:rPr>
            </w:r>
            <w:r w:rsidRPr="00975DAB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75DAB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75DAB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75DAB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75DAB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75DAB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75DA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707D5" w:rsidRPr="00975DAB" w14:paraId="73994E2E" w14:textId="77777777" w:rsidTr="007707D5">
        <w:tc>
          <w:tcPr>
            <w:tcW w:w="2790" w:type="dxa"/>
            <w:gridSpan w:val="2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hideMark/>
          </w:tcPr>
          <w:p w14:paraId="05E95B6B" w14:textId="77777777" w:rsidR="007707D5" w:rsidRPr="00975DAB" w:rsidRDefault="007707D5">
            <w:pPr>
              <w:spacing w:before="20" w:after="20"/>
              <w:rPr>
                <w:rFonts w:ascii="Verdana" w:hAnsi="Verdana"/>
                <w:sz w:val="16"/>
                <w:szCs w:val="16"/>
              </w:rPr>
            </w:pPr>
            <w:r w:rsidRPr="00975DAB">
              <w:rPr>
                <w:rFonts w:ascii="Verdana" w:hAnsi="Verdana"/>
                <w:sz w:val="16"/>
                <w:szCs w:val="16"/>
              </w:rPr>
              <w:t>En nombre y representación de</w:t>
            </w:r>
          </w:p>
        </w:tc>
        <w:tc>
          <w:tcPr>
            <w:tcW w:w="415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hideMark/>
          </w:tcPr>
          <w:p w14:paraId="6464D1F0" w14:textId="77777777" w:rsidR="007707D5" w:rsidRPr="00975DAB" w:rsidRDefault="007707D5">
            <w:pPr>
              <w:spacing w:before="20" w:after="20"/>
              <w:rPr>
                <w:rFonts w:ascii="Verdana" w:hAnsi="Verdana"/>
                <w:sz w:val="16"/>
                <w:szCs w:val="16"/>
              </w:rPr>
            </w:pPr>
            <w:r w:rsidRPr="00975DA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DA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75DAB">
              <w:rPr>
                <w:rFonts w:ascii="Verdana" w:hAnsi="Verdana"/>
                <w:sz w:val="16"/>
                <w:szCs w:val="16"/>
              </w:rPr>
            </w:r>
            <w:r w:rsidRPr="00975DAB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75DAB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75DAB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75DAB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75DAB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75DAB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75DA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hideMark/>
          </w:tcPr>
          <w:p w14:paraId="0AD6DBA0" w14:textId="77777777" w:rsidR="007707D5" w:rsidRPr="00975DAB" w:rsidRDefault="007707D5">
            <w:pPr>
              <w:spacing w:before="20" w:after="20"/>
              <w:rPr>
                <w:rFonts w:ascii="Verdana" w:hAnsi="Verdana"/>
                <w:sz w:val="16"/>
                <w:szCs w:val="16"/>
              </w:rPr>
            </w:pPr>
            <w:r w:rsidRPr="00975DAB">
              <w:rPr>
                <w:rFonts w:ascii="Verdana" w:hAnsi="Verdana"/>
                <w:sz w:val="16"/>
                <w:szCs w:val="16"/>
              </w:rPr>
              <w:t>NIF</w:t>
            </w:r>
          </w:p>
        </w:tc>
        <w:tc>
          <w:tcPr>
            <w:tcW w:w="184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F2F2F2" w:themeFill="background1" w:themeFillShade="F2"/>
            <w:hideMark/>
          </w:tcPr>
          <w:p w14:paraId="6FB45121" w14:textId="77777777" w:rsidR="007707D5" w:rsidRPr="00975DAB" w:rsidRDefault="007707D5">
            <w:pPr>
              <w:spacing w:before="20" w:after="20"/>
              <w:rPr>
                <w:rFonts w:ascii="Verdana" w:hAnsi="Verdana"/>
                <w:sz w:val="16"/>
                <w:szCs w:val="16"/>
              </w:rPr>
            </w:pPr>
            <w:r w:rsidRPr="00975DA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5DA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75DAB">
              <w:rPr>
                <w:rFonts w:ascii="Verdana" w:hAnsi="Verdana"/>
                <w:sz w:val="16"/>
                <w:szCs w:val="16"/>
              </w:rPr>
            </w:r>
            <w:r w:rsidRPr="00975DAB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75DAB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75DAB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75DAB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75DAB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75DAB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75DA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647FD445" w14:textId="77777777" w:rsidR="00100D20" w:rsidRPr="00975DAB" w:rsidRDefault="00100D20" w:rsidP="00975DAB">
      <w:pPr>
        <w:spacing w:before="360" w:after="240" w:line="240" w:lineRule="auto"/>
        <w:jc w:val="center"/>
        <w:rPr>
          <w:rFonts w:ascii="Verdana" w:eastAsia="Arial" w:hAnsi="Verdana" w:cs="Calibri"/>
        </w:rPr>
      </w:pPr>
      <w:r w:rsidRPr="00975DAB">
        <w:rPr>
          <w:rFonts w:ascii="Verdana" w:eastAsia="Arial" w:hAnsi="Verdana" w:cs="Calibri"/>
          <w:b/>
        </w:rPr>
        <w:t>DECLARA BAJO SU RESPONSABILIDAD:</w:t>
      </w:r>
    </w:p>
    <w:p w14:paraId="16FF4E3C" w14:textId="5CAF6FC5" w:rsidR="00100D20" w:rsidRPr="00975DAB" w:rsidRDefault="00100D20" w:rsidP="00510CBE">
      <w:pPr>
        <w:spacing w:before="120" w:after="120" w:line="240" w:lineRule="auto"/>
        <w:jc w:val="both"/>
        <w:rPr>
          <w:rFonts w:ascii="Verdana" w:eastAsia="Arial" w:hAnsi="Verdana" w:cs="Calibri"/>
          <w:sz w:val="16"/>
          <w:szCs w:val="16"/>
        </w:rPr>
      </w:pPr>
      <w:r w:rsidRPr="00975DAB">
        <w:rPr>
          <w:rFonts w:ascii="Verdana" w:eastAsia="Arial" w:hAnsi="Verdana" w:cs="Calibri"/>
          <w:sz w:val="16"/>
          <w:szCs w:val="16"/>
        </w:rPr>
        <w:t xml:space="preserve">Que la entidad solicitante a la cual representa, teniendo en cuenta todas las fases del ciclo de vida del proyecto o actividad a desarrollar, tanto durante su implantación como al final de su vida útil, cumplirá con el principio DNSH de «no causar un perjuicio significativo» exigido por el </w:t>
      </w:r>
      <w:hyperlink r:id="rId11" w:history="1">
        <w:r w:rsidRPr="00975DAB">
          <w:rPr>
            <w:rStyle w:val="Hipervnculo"/>
            <w:rFonts w:ascii="Verdana" w:eastAsia="Arial" w:hAnsi="Verdana" w:cs="Calibri"/>
            <w:sz w:val="16"/>
            <w:szCs w:val="16"/>
          </w:rPr>
          <w:t>R</w:t>
        </w:r>
        <w:r w:rsidR="00E87922" w:rsidRPr="00975DAB">
          <w:rPr>
            <w:rStyle w:val="Hipervnculo"/>
            <w:rFonts w:ascii="Verdana" w:eastAsia="Arial" w:hAnsi="Verdana" w:cs="Calibri"/>
            <w:sz w:val="16"/>
            <w:szCs w:val="16"/>
          </w:rPr>
          <w:t>eglamento</w:t>
        </w:r>
        <w:r w:rsidRPr="00975DAB">
          <w:rPr>
            <w:rStyle w:val="Hipervnculo"/>
            <w:rFonts w:ascii="Verdana" w:eastAsia="Arial" w:hAnsi="Verdana" w:cs="Calibri"/>
            <w:sz w:val="16"/>
            <w:szCs w:val="16"/>
          </w:rPr>
          <w:t xml:space="preserve"> (UE) 2021/</w:t>
        </w:r>
        <w:r w:rsidR="007C65B9" w:rsidRPr="00975DAB">
          <w:rPr>
            <w:rStyle w:val="Hipervnculo"/>
            <w:rFonts w:ascii="Verdana" w:eastAsia="Arial" w:hAnsi="Verdana" w:cs="Calibri"/>
            <w:sz w:val="16"/>
            <w:szCs w:val="16"/>
          </w:rPr>
          <w:t>1056</w:t>
        </w:r>
        <w:r w:rsidRPr="00975DAB">
          <w:rPr>
            <w:rStyle w:val="Hipervnculo"/>
            <w:rFonts w:ascii="Verdana" w:eastAsia="Arial" w:hAnsi="Verdana" w:cs="Calibri"/>
            <w:sz w:val="16"/>
            <w:szCs w:val="16"/>
          </w:rPr>
          <w:t xml:space="preserve">, </w:t>
        </w:r>
        <w:r w:rsidR="00E87922" w:rsidRPr="00975DAB">
          <w:rPr>
            <w:rStyle w:val="Hipervnculo"/>
            <w:rFonts w:ascii="Verdana" w:hAnsi="Verdana"/>
            <w:sz w:val="16"/>
            <w:szCs w:val="16"/>
          </w:rPr>
          <w:t xml:space="preserve">del Parlamento Europeo y del Consejo de </w:t>
        </w:r>
        <w:r w:rsidR="000A144A" w:rsidRPr="00975DAB">
          <w:rPr>
            <w:rStyle w:val="Hipervnculo"/>
            <w:rFonts w:ascii="Verdana" w:hAnsi="Verdana"/>
            <w:sz w:val="16"/>
            <w:szCs w:val="16"/>
          </w:rPr>
          <w:t>24 de junio</w:t>
        </w:r>
        <w:r w:rsidR="00E87922" w:rsidRPr="00975DAB">
          <w:rPr>
            <w:rStyle w:val="Hipervnculo"/>
            <w:rFonts w:ascii="Verdana" w:hAnsi="Verdana"/>
            <w:sz w:val="16"/>
            <w:szCs w:val="16"/>
          </w:rPr>
          <w:t xml:space="preserve"> de 2021</w:t>
        </w:r>
      </w:hyperlink>
      <w:r w:rsidR="00E87922" w:rsidRPr="00975DAB">
        <w:rPr>
          <w:rFonts w:ascii="Verdana" w:hAnsi="Verdana"/>
          <w:sz w:val="16"/>
          <w:szCs w:val="16"/>
        </w:rPr>
        <w:t xml:space="preserve"> por el que se establece el </w:t>
      </w:r>
      <w:r w:rsidR="000A144A" w:rsidRPr="00975DAB">
        <w:rPr>
          <w:rFonts w:ascii="Verdana" w:hAnsi="Verdana"/>
          <w:sz w:val="16"/>
          <w:szCs w:val="16"/>
        </w:rPr>
        <w:t>Fondo de Transición Justa</w:t>
      </w:r>
      <w:r w:rsidRPr="00975DAB">
        <w:rPr>
          <w:rFonts w:ascii="Verdana" w:eastAsia="Arial" w:hAnsi="Verdana" w:cs="Calibri"/>
          <w:sz w:val="16"/>
          <w:szCs w:val="16"/>
        </w:rPr>
        <w:t>, de forma que:</w:t>
      </w:r>
    </w:p>
    <w:p w14:paraId="5B690E3D" w14:textId="44BCFEFE" w:rsidR="00100D20" w:rsidRPr="00975DAB" w:rsidRDefault="00100D20" w:rsidP="00975DA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40" w:lineRule="auto"/>
        <w:ind w:left="284" w:hanging="284"/>
        <w:jc w:val="both"/>
        <w:rPr>
          <w:rFonts w:ascii="Verdana" w:eastAsia="Arial" w:hAnsi="Verdana" w:cs="Calibri"/>
          <w:sz w:val="16"/>
          <w:szCs w:val="16"/>
        </w:rPr>
      </w:pPr>
      <w:r w:rsidRPr="00975DAB">
        <w:rPr>
          <w:rFonts w:ascii="Verdana" w:eastAsia="Arial" w:hAnsi="Verdana" w:cs="Calibri"/>
          <w:b/>
          <w:sz w:val="16"/>
          <w:szCs w:val="16"/>
          <w:u w:val="single"/>
        </w:rPr>
        <w:t>NO CAUSA</w:t>
      </w:r>
      <w:r w:rsidRPr="00975DAB">
        <w:rPr>
          <w:rFonts w:ascii="Verdana" w:eastAsia="Arial" w:hAnsi="Verdana" w:cs="Calibri"/>
          <w:b/>
          <w:sz w:val="16"/>
          <w:szCs w:val="16"/>
        </w:rPr>
        <w:t xml:space="preserve"> UN PERJUICIO SIGNIFICATIVO A LOS SEIS OBJETIVOS MEDIOAMBIENTALES </w:t>
      </w:r>
      <w:r w:rsidRPr="00975DAB">
        <w:rPr>
          <w:rFonts w:ascii="Verdana" w:eastAsia="Arial" w:hAnsi="Verdana" w:cs="Calibri"/>
          <w:sz w:val="16"/>
          <w:szCs w:val="16"/>
        </w:rPr>
        <w:t xml:space="preserve">del artículo 17 del </w:t>
      </w:r>
      <w:hyperlink r:id="rId12" w:history="1">
        <w:r w:rsidRPr="00975DAB">
          <w:rPr>
            <w:rStyle w:val="Hipervnculo"/>
            <w:rFonts w:ascii="Verdana" w:eastAsia="Arial" w:hAnsi="Verdana" w:cs="Calibri"/>
            <w:sz w:val="16"/>
            <w:szCs w:val="16"/>
          </w:rPr>
          <w:t>Reglamento (UE) 2020/85</w:t>
        </w:r>
        <w:r w:rsidR="00CD1D73" w:rsidRPr="00975DAB">
          <w:rPr>
            <w:rStyle w:val="Hipervnculo"/>
            <w:rFonts w:ascii="Verdana" w:eastAsia="Arial" w:hAnsi="Verdana" w:cs="Calibri"/>
            <w:sz w:val="16"/>
            <w:szCs w:val="16"/>
          </w:rPr>
          <w:t>2 del Parlamento Europeo y del Consejo de 18 de junio de 2020</w:t>
        </w:r>
      </w:hyperlink>
      <w:r w:rsidR="00803062" w:rsidRPr="00975DAB">
        <w:rPr>
          <w:rFonts w:ascii="Verdana" w:eastAsia="Arial" w:hAnsi="Verdana" w:cs="Calibri"/>
          <w:sz w:val="16"/>
          <w:szCs w:val="16"/>
          <w:vertAlign w:val="superscript"/>
        </w:rPr>
        <w:t>(</w:t>
      </w:r>
      <w:r w:rsidRPr="00975DAB">
        <w:rPr>
          <w:rFonts w:ascii="Verdana" w:eastAsia="Arial" w:hAnsi="Verdana" w:cs="Calibri"/>
          <w:sz w:val="16"/>
          <w:szCs w:val="16"/>
          <w:vertAlign w:val="superscript"/>
        </w:rPr>
        <w:footnoteReference w:id="1"/>
      </w:r>
      <w:r w:rsidR="00803062" w:rsidRPr="00975DAB">
        <w:rPr>
          <w:rFonts w:ascii="Verdana" w:eastAsia="Arial" w:hAnsi="Verdana" w:cs="Calibri"/>
          <w:sz w:val="16"/>
          <w:szCs w:val="16"/>
          <w:vertAlign w:val="superscript"/>
        </w:rPr>
        <w:t>)</w:t>
      </w:r>
      <w:r w:rsidRPr="00975DAB">
        <w:rPr>
          <w:rFonts w:ascii="Verdana" w:eastAsia="Arial" w:hAnsi="Verdana" w:cs="Calibri"/>
          <w:sz w:val="16"/>
          <w:szCs w:val="16"/>
        </w:rPr>
        <w:t>, que se enumeran a continuación:</w:t>
      </w:r>
    </w:p>
    <w:p w14:paraId="68542E12" w14:textId="77777777" w:rsidR="00100D20" w:rsidRPr="00975DAB" w:rsidRDefault="00100D20" w:rsidP="00975DAB">
      <w:pPr>
        <w:pStyle w:val="Prrafodelista"/>
        <w:numPr>
          <w:ilvl w:val="0"/>
          <w:numId w:val="5"/>
        </w:numPr>
        <w:spacing w:after="60" w:line="240" w:lineRule="auto"/>
        <w:ind w:left="567" w:hanging="283"/>
        <w:contextualSpacing w:val="0"/>
        <w:jc w:val="both"/>
        <w:rPr>
          <w:rFonts w:ascii="Verdana" w:eastAsia="Arial" w:hAnsi="Verdana" w:cs="Calibri"/>
          <w:sz w:val="16"/>
          <w:szCs w:val="16"/>
        </w:rPr>
      </w:pPr>
      <w:r w:rsidRPr="00975DAB">
        <w:rPr>
          <w:rFonts w:ascii="Verdana" w:eastAsia="Arial" w:hAnsi="Verdana" w:cs="Calibri"/>
          <w:i/>
          <w:sz w:val="16"/>
          <w:szCs w:val="16"/>
        </w:rPr>
        <w:t>Mitigación del cambio climático</w:t>
      </w:r>
      <w:r w:rsidRPr="00975DAB">
        <w:rPr>
          <w:rFonts w:ascii="Verdana" w:eastAsia="Arial" w:hAnsi="Verdana" w:cs="Calibri"/>
          <w:sz w:val="16"/>
          <w:szCs w:val="16"/>
        </w:rPr>
        <w:t xml:space="preserve"> - se considera que una actividad causa un perjuicio significativo a la mitigación del cambio climático si da lugar a considerables emisiones de gases de efecto invernadero (GEI).</w:t>
      </w:r>
    </w:p>
    <w:p w14:paraId="007868AC" w14:textId="77777777" w:rsidR="00100D20" w:rsidRPr="00975DAB" w:rsidRDefault="00100D20" w:rsidP="00975DAB">
      <w:pPr>
        <w:pStyle w:val="Prrafodelista"/>
        <w:numPr>
          <w:ilvl w:val="0"/>
          <w:numId w:val="5"/>
        </w:numPr>
        <w:spacing w:after="60" w:line="240" w:lineRule="auto"/>
        <w:ind w:left="567" w:hanging="283"/>
        <w:contextualSpacing w:val="0"/>
        <w:jc w:val="both"/>
        <w:rPr>
          <w:rFonts w:ascii="Verdana" w:eastAsia="Arial" w:hAnsi="Verdana" w:cs="Calibri"/>
          <w:sz w:val="16"/>
          <w:szCs w:val="16"/>
        </w:rPr>
      </w:pPr>
      <w:r w:rsidRPr="00975DAB">
        <w:rPr>
          <w:rFonts w:ascii="Verdana" w:eastAsia="Arial" w:hAnsi="Verdana" w:cs="Calibri"/>
          <w:i/>
          <w:sz w:val="16"/>
          <w:szCs w:val="16"/>
        </w:rPr>
        <w:t>Adaptación al cambio climático</w:t>
      </w:r>
      <w:r w:rsidRPr="00975DAB">
        <w:rPr>
          <w:rFonts w:ascii="Verdana" w:eastAsia="Arial" w:hAnsi="Verdana" w:cs="Calibri"/>
          <w:sz w:val="16"/>
          <w:szCs w:val="16"/>
        </w:rPr>
        <w:t xml:space="preserve"> - se considera que una actividad causa un perjuicio significativo a la adaptación al cambio climático si provoca un aumento de los efectos adversos de las condiciones climáticas actuales y de las previstas en el futuro, sobre sí misma o en las personas, la naturaleza o los activos.</w:t>
      </w:r>
    </w:p>
    <w:p w14:paraId="265432D4" w14:textId="77777777" w:rsidR="00100D20" w:rsidRPr="00975DAB" w:rsidRDefault="00100D20" w:rsidP="00975DAB">
      <w:pPr>
        <w:pStyle w:val="Prrafodelista"/>
        <w:numPr>
          <w:ilvl w:val="0"/>
          <w:numId w:val="5"/>
        </w:numPr>
        <w:spacing w:after="60" w:line="240" w:lineRule="auto"/>
        <w:ind w:left="567" w:hanging="283"/>
        <w:contextualSpacing w:val="0"/>
        <w:jc w:val="both"/>
        <w:rPr>
          <w:rFonts w:ascii="Verdana" w:eastAsia="Arial" w:hAnsi="Verdana" w:cs="Calibri"/>
          <w:sz w:val="16"/>
          <w:szCs w:val="16"/>
        </w:rPr>
      </w:pPr>
      <w:r w:rsidRPr="00975DAB">
        <w:rPr>
          <w:rFonts w:ascii="Verdana" w:eastAsia="Arial" w:hAnsi="Verdana" w:cs="Calibri"/>
          <w:i/>
          <w:sz w:val="16"/>
          <w:szCs w:val="16"/>
        </w:rPr>
        <w:t>Uso sostenible y protección de los recursos hídricos y marinos</w:t>
      </w:r>
      <w:r w:rsidRPr="00975DAB">
        <w:rPr>
          <w:rFonts w:ascii="Verdana" w:eastAsia="Arial" w:hAnsi="Verdana" w:cs="Calibri"/>
          <w:sz w:val="16"/>
          <w:szCs w:val="16"/>
        </w:rPr>
        <w:t xml:space="preserve"> - se considera que una actividad causa un perjuicio significativo a la utilización y protección sostenibles de los recursos hídricos y marinos si va en detrimento del buen estado o del buen potencial ecológico de las masas de agua, incluidas las superficiales y subterráneas, y del buen estado ecológico de las aguas marinas.</w:t>
      </w:r>
    </w:p>
    <w:p w14:paraId="072EA62B" w14:textId="77777777" w:rsidR="00100D20" w:rsidRPr="00975DAB" w:rsidRDefault="00100D20" w:rsidP="00975DAB">
      <w:pPr>
        <w:pStyle w:val="Prrafodelista"/>
        <w:numPr>
          <w:ilvl w:val="0"/>
          <w:numId w:val="5"/>
        </w:numPr>
        <w:spacing w:after="60" w:line="240" w:lineRule="auto"/>
        <w:ind w:left="567" w:hanging="283"/>
        <w:contextualSpacing w:val="0"/>
        <w:jc w:val="both"/>
        <w:rPr>
          <w:rFonts w:ascii="Verdana" w:eastAsia="Arial" w:hAnsi="Verdana" w:cs="Calibri"/>
          <w:sz w:val="16"/>
          <w:szCs w:val="16"/>
        </w:rPr>
      </w:pPr>
      <w:r w:rsidRPr="00975DAB">
        <w:rPr>
          <w:rFonts w:ascii="Verdana" w:eastAsia="Arial" w:hAnsi="Verdana" w:cs="Calibri"/>
          <w:i/>
          <w:sz w:val="16"/>
          <w:szCs w:val="16"/>
        </w:rPr>
        <w:t>Economía circular, incluidos la prevención y el reciclado de residuos</w:t>
      </w:r>
      <w:r w:rsidRPr="00975DAB">
        <w:rPr>
          <w:rFonts w:ascii="Verdana" w:eastAsia="Arial" w:hAnsi="Verdana" w:cs="Calibri"/>
          <w:sz w:val="16"/>
          <w:szCs w:val="16"/>
        </w:rPr>
        <w:t xml:space="preserve"> - se considera que una actividad causa un perjuicio significativo a la economía circular, incluidos la prevención y el reciclado de residuos, si genera importantes ineficiencias en el uso de materiales o en el uso directo o indirecto de recursos naturales; si da lugar a un aumento significativo de la generación</w:t>
      </w:r>
      <w:r w:rsidRPr="00975DAB">
        <w:rPr>
          <w:rFonts w:ascii="Verdana" w:hAnsi="Verdana"/>
          <w:sz w:val="16"/>
          <w:szCs w:val="16"/>
        </w:rPr>
        <w:t xml:space="preserve"> </w:t>
      </w:r>
      <w:r w:rsidRPr="00975DAB">
        <w:rPr>
          <w:rFonts w:ascii="Verdana" w:eastAsia="Arial" w:hAnsi="Verdana" w:cs="Calibri"/>
          <w:sz w:val="16"/>
          <w:szCs w:val="16"/>
        </w:rPr>
        <w:t xml:space="preserve">de residuos, el tratamiento mecánico-biológico, incineración o depósito en vertedero de residuos; o si la eliminación de residuos a largo plazo puede causar un perjuicio significativo y a largo plazo para el medio ambiente. </w:t>
      </w:r>
    </w:p>
    <w:p w14:paraId="23A9729D" w14:textId="3205C851" w:rsidR="00100D20" w:rsidRPr="00975DAB" w:rsidRDefault="00100D20" w:rsidP="00975DAB">
      <w:pPr>
        <w:pStyle w:val="Prrafodelista"/>
        <w:numPr>
          <w:ilvl w:val="0"/>
          <w:numId w:val="5"/>
        </w:numPr>
        <w:spacing w:after="60" w:line="240" w:lineRule="auto"/>
        <w:ind w:left="567" w:hanging="283"/>
        <w:contextualSpacing w:val="0"/>
        <w:jc w:val="both"/>
        <w:rPr>
          <w:rFonts w:ascii="Verdana" w:eastAsia="Arial" w:hAnsi="Verdana" w:cs="Calibri"/>
          <w:sz w:val="16"/>
          <w:szCs w:val="16"/>
        </w:rPr>
      </w:pPr>
      <w:r w:rsidRPr="00975DAB">
        <w:rPr>
          <w:rFonts w:ascii="Verdana" w:eastAsia="Arial" w:hAnsi="Verdana" w:cs="Calibri"/>
          <w:i/>
          <w:sz w:val="16"/>
          <w:szCs w:val="16"/>
        </w:rPr>
        <w:t>Prevención y control de la contaminación a la atmósfera, el agua o el suelo</w:t>
      </w:r>
      <w:r w:rsidRPr="00975DAB">
        <w:rPr>
          <w:rFonts w:ascii="Verdana" w:eastAsia="Arial" w:hAnsi="Verdana" w:cs="Calibri"/>
          <w:sz w:val="16"/>
          <w:szCs w:val="16"/>
        </w:rPr>
        <w:t xml:space="preserve"> - se considera que una actividad causa un perjuicio significativo a la prevención y el control de la contaminación cuando da lugar a un aumento significativo de las emisiones de contaminantes a la atmósfera, el agua o el suelo.</w:t>
      </w:r>
    </w:p>
    <w:p w14:paraId="369EA898" w14:textId="77777777" w:rsidR="00100D20" w:rsidRPr="00975DAB" w:rsidRDefault="00100D20" w:rsidP="00975DAB">
      <w:pPr>
        <w:pStyle w:val="Prrafodelista"/>
        <w:numPr>
          <w:ilvl w:val="0"/>
          <w:numId w:val="5"/>
        </w:numPr>
        <w:spacing w:after="60" w:line="240" w:lineRule="auto"/>
        <w:ind w:left="567" w:hanging="283"/>
        <w:contextualSpacing w:val="0"/>
        <w:jc w:val="both"/>
        <w:rPr>
          <w:rFonts w:ascii="Verdana" w:eastAsia="Arial" w:hAnsi="Verdana" w:cs="Calibri"/>
          <w:sz w:val="16"/>
          <w:szCs w:val="16"/>
        </w:rPr>
      </w:pPr>
      <w:r w:rsidRPr="00975DAB">
        <w:rPr>
          <w:rFonts w:ascii="Verdana" w:eastAsia="Arial" w:hAnsi="Verdana" w:cs="Calibri"/>
          <w:i/>
          <w:sz w:val="16"/>
          <w:szCs w:val="16"/>
        </w:rPr>
        <w:t>Protección y restauración de la biodiversidad y los ecosistemas</w:t>
      </w:r>
      <w:r w:rsidRPr="00975DAB">
        <w:rPr>
          <w:rFonts w:ascii="Verdana" w:eastAsia="Arial" w:hAnsi="Verdana" w:cs="Calibri"/>
          <w:sz w:val="16"/>
          <w:szCs w:val="16"/>
        </w:rPr>
        <w:t xml:space="preserve"> - se considera que una actividad causa un perjuicio significativo a la protección y restauración de la biodiversidad y los ecosistemas cuando va en gran medida en detrimento de las buenas condiciones y la resiliencia de los ecosistemas, o va en detrimento del estado de conservación de los hábitats y las especies, en particular de aquellos de interés para la Unión.</w:t>
      </w:r>
    </w:p>
    <w:p w14:paraId="39A4BF97" w14:textId="3E0EDEE9" w:rsidR="000A144A" w:rsidRPr="00975DAB" w:rsidRDefault="00100D20" w:rsidP="00975DA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40" w:lineRule="auto"/>
        <w:ind w:left="284" w:hanging="284"/>
        <w:jc w:val="both"/>
        <w:rPr>
          <w:rFonts w:ascii="Verdana" w:eastAsia="Arial" w:hAnsi="Verdana" w:cs="Calibri"/>
          <w:sz w:val="16"/>
          <w:szCs w:val="16"/>
        </w:rPr>
      </w:pPr>
      <w:r w:rsidRPr="00975DAB">
        <w:rPr>
          <w:rFonts w:ascii="Verdana" w:eastAsia="Arial" w:hAnsi="Verdana" w:cs="Calibri"/>
          <w:b/>
          <w:sz w:val="16"/>
          <w:szCs w:val="16"/>
        </w:rPr>
        <w:t xml:space="preserve">LA ENTIDAD SOLICITANTE </w:t>
      </w:r>
      <w:r w:rsidRPr="00975DAB">
        <w:rPr>
          <w:rFonts w:ascii="Verdana" w:eastAsia="Arial" w:hAnsi="Verdana" w:cs="Calibri"/>
          <w:b/>
          <w:sz w:val="16"/>
          <w:szCs w:val="16"/>
          <w:u w:val="single"/>
        </w:rPr>
        <w:t>NO DESARROLLA ACTIVIDADES EXCLUIDAS</w:t>
      </w:r>
      <w:r w:rsidRPr="00975DAB">
        <w:rPr>
          <w:rFonts w:ascii="Verdana" w:eastAsia="Arial" w:hAnsi="Verdana" w:cs="Calibri"/>
          <w:sz w:val="16"/>
          <w:szCs w:val="16"/>
        </w:rPr>
        <w:t xml:space="preserve"> en virtud del </w:t>
      </w:r>
      <w:hyperlink r:id="rId13" w:history="1">
        <w:r w:rsidRPr="00975DAB">
          <w:rPr>
            <w:rStyle w:val="Hipervnculo"/>
            <w:rFonts w:ascii="Verdana" w:eastAsia="Arial" w:hAnsi="Verdana" w:cs="Calibri"/>
            <w:sz w:val="16"/>
            <w:szCs w:val="16"/>
          </w:rPr>
          <w:t xml:space="preserve">Reglamento </w:t>
        </w:r>
        <w:r w:rsidR="000A144A" w:rsidRPr="00975DAB">
          <w:rPr>
            <w:rStyle w:val="Hipervnculo"/>
            <w:rFonts w:ascii="Verdana" w:hAnsi="Verdana"/>
            <w:sz w:val="16"/>
            <w:szCs w:val="16"/>
          </w:rPr>
          <w:t>(UE) 2021/1056 del Parlamento Europeo y del Consejo de 24 de junio de 2021</w:t>
        </w:r>
      </w:hyperlink>
      <w:r w:rsidR="000A144A" w:rsidRPr="00975DAB">
        <w:rPr>
          <w:rFonts w:ascii="Verdana" w:hAnsi="Verdana"/>
          <w:sz w:val="16"/>
          <w:szCs w:val="16"/>
        </w:rPr>
        <w:t xml:space="preserve"> por el que se establece el Fondo de Transición Justa.</w:t>
      </w:r>
    </w:p>
    <w:p w14:paraId="17A0F494" w14:textId="21CFB403" w:rsidR="000A144A" w:rsidRPr="00975DAB" w:rsidRDefault="000A144A" w:rsidP="00510CBE">
      <w:pPr>
        <w:spacing w:after="120" w:line="240" w:lineRule="auto"/>
        <w:jc w:val="both"/>
        <w:rPr>
          <w:rFonts w:ascii="Verdana" w:eastAsia="Arial" w:hAnsi="Verdana" w:cs="Calibri"/>
          <w:sz w:val="16"/>
          <w:szCs w:val="16"/>
        </w:rPr>
      </w:pPr>
      <w:r w:rsidRPr="00975DAB">
        <w:rPr>
          <w:rFonts w:ascii="Verdana" w:eastAsia="Arial" w:hAnsi="Verdana" w:cs="Calibri"/>
          <w:sz w:val="16"/>
          <w:szCs w:val="16"/>
        </w:rPr>
        <w:t>Las actividades excluidas son:</w:t>
      </w:r>
    </w:p>
    <w:p w14:paraId="402AA81D" w14:textId="3D45A921" w:rsidR="006007B3" w:rsidRPr="00975DAB" w:rsidRDefault="006007B3" w:rsidP="00975DAB">
      <w:pPr>
        <w:pStyle w:val="Prrafodelista"/>
        <w:numPr>
          <w:ilvl w:val="0"/>
          <w:numId w:val="4"/>
        </w:numPr>
        <w:spacing w:after="60" w:line="240" w:lineRule="auto"/>
        <w:ind w:left="567" w:hanging="283"/>
        <w:contextualSpacing w:val="0"/>
        <w:jc w:val="both"/>
        <w:rPr>
          <w:rFonts w:ascii="Verdana" w:eastAsia="Arial" w:hAnsi="Verdana" w:cs="Calibri"/>
          <w:sz w:val="16"/>
          <w:szCs w:val="16"/>
        </w:rPr>
      </w:pPr>
      <w:r w:rsidRPr="00975DAB">
        <w:rPr>
          <w:rFonts w:ascii="Verdana" w:eastAsia="Arial" w:hAnsi="Verdana" w:cs="Calibri"/>
          <w:sz w:val="16"/>
          <w:szCs w:val="16"/>
        </w:rPr>
        <w:t>los vertederos y plantas de tratamiento mecánico-biológico de residuos;</w:t>
      </w:r>
    </w:p>
    <w:p w14:paraId="22620302" w14:textId="0A46DA9C" w:rsidR="006007B3" w:rsidRPr="00975DAB" w:rsidRDefault="00975DAB" w:rsidP="00975DAB">
      <w:pPr>
        <w:pStyle w:val="Prrafodelista"/>
        <w:numPr>
          <w:ilvl w:val="0"/>
          <w:numId w:val="4"/>
        </w:numPr>
        <w:spacing w:after="60" w:line="240" w:lineRule="auto"/>
        <w:ind w:left="567" w:hanging="283"/>
        <w:contextualSpacing w:val="0"/>
        <w:jc w:val="both"/>
        <w:rPr>
          <w:rFonts w:ascii="Verdana" w:eastAsia="Arial" w:hAnsi="Verdana" w:cs="Calibri"/>
          <w:sz w:val="16"/>
          <w:szCs w:val="16"/>
        </w:rPr>
      </w:pPr>
      <w:r>
        <w:rPr>
          <w:rFonts w:ascii="Verdana" w:eastAsia="Arial" w:hAnsi="Verdana" w:cs="Calibri"/>
          <w:sz w:val="16"/>
          <w:szCs w:val="16"/>
        </w:rPr>
        <w:t>L</w:t>
      </w:r>
      <w:r w:rsidR="006007B3" w:rsidRPr="00975DAB">
        <w:rPr>
          <w:rFonts w:ascii="Verdana" w:eastAsia="Arial" w:hAnsi="Verdana" w:cs="Calibri"/>
          <w:sz w:val="16"/>
          <w:szCs w:val="16"/>
        </w:rPr>
        <w:t>as incineradoras;</w:t>
      </w:r>
    </w:p>
    <w:p w14:paraId="0F119284" w14:textId="595CCA1B" w:rsidR="006007B3" w:rsidRPr="00975DAB" w:rsidRDefault="00975DAB" w:rsidP="00975DAB">
      <w:pPr>
        <w:pStyle w:val="Prrafodelista"/>
        <w:numPr>
          <w:ilvl w:val="0"/>
          <w:numId w:val="4"/>
        </w:numPr>
        <w:spacing w:after="60" w:line="240" w:lineRule="auto"/>
        <w:ind w:left="567" w:hanging="283"/>
        <w:contextualSpacing w:val="0"/>
        <w:jc w:val="both"/>
        <w:rPr>
          <w:rFonts w:ascii="Verdana" w:eastAsia="Arial" w:hAnsi="Verdana" w:cs="Calibri"/>
          <w:sz w:val="16"/>
          <w:szCs w:val="16"/>
        </w:rPr>
      </w:pPr>
      <w:r>
        <w:rPr>
          <w:rFonts w:ascii="Verdana" w:eastAsia="Arial" w:hAnsi="Verdana" w:cs="Calibri"/>
          <w:sz w:val="16"/>
          <w:szCs w:val="16"/>
        </w:rPr>
        <w:lastRenderedPageBreak/>
        <w:t>L</w:t>
      </w:r>
      <w:r w:rsidR="006007B3" w:rsidRPr="00975DAB">
        <w:rPr>
          <w:rFonts w:ascii="Verdana" w:eastAsia="Arial" w:hAnsi="Verdana" w:cs="Calibri"/>
          <w:sz w:val="16"/>
          <w:szCs w:val="16"/>
        </w:rPr>
        <w:t>as plantas desalinizadoras</w:t>
      </w:r>
    </w:p>
    <w:p w14:paraId="651476F0" w14:textId="527D25E6" w:rsidR="007C65B9" w:rsidRPr="00975DAB" w:rsidRDefault="00975DAB" w:rsidP="00975DAB">
      <w:pPr>
        <w:pStyle w:val="Prrafodelista"/>
        <w:numPr>
          <w:ilvl w:val="0"/>
          <w:numId w:val="4"/>
        </w:numPr>
        <w:spacing w:after="60" w:line="240" w:lineRule="auto"/>
        <w:ind w:left="567" w:hanging="283"/>
        <w:contextualSpacing w:val="0"/>
        <w:jc w:val="both"/>
        <w:rPr>
          <w:rFonts w:ascii="Verdana" w:eastAsia="Arial" w:hAnsi="Verdana" w:cs="Calibri"/>
          <w:sz w:val="16"/>
          <w:szCs w:val="16"/>
        </w:rPr>
      </w:pPr>
      <w:r>
        <w:rPr>
          <w:rFonts w:ascii="Verdana" w:eastAsia="Arial" w:hAnsi="Verdana" w:cs="Calibri"/>
          <w:sz w:val="16"/>
          <w:szCs w:val="16"/>
        </w:rPr>
        <w:t>E</w:t>
      </w:r>
      <w:r w:rsidR="007C65B9" w:rsidRPr="00975DAB">
        <w:rPr>
          <w:rFonts w:ascii="Verdana" w:eastAsia="Arial" w:hAnsi="Verdana" w:cs="Calibri"/>
          <w:sz w:val="16"/>
          <w:szCs w:val="16"/>
        </w:rPr>
        <w:t>l desmantelamiento o la construcción de centrales nucleares;</w:t>
      </w:r>
    </w:p>
    <w:p w14:paraId="5D23B76B" w14:textId="4732B3DA" w:rsidR="007C65B9" w:rsidRPr="00975DAB" w:rsidRDefault="00975DAB" w:rsidP="00975DAB">
      <w:pPr>
        <w:pStyle w:val="Prrafodelista"/>
        <w:numPr>
          <w:ilvl w:val="0"/>
          <w:numId w:val="4"/>
        </w:numPr>
        <w:spacing w:after="60" w:line="240" w:lineRule="auto"/>
        <w:ind w:left="567" w:hanging="283"/>
        <w:contextualSpacing w:val="0"/>
        <w:jc w:val="both"/>
        <w:rPr>
          <w:rFonts w:ascii="Verdana" w:eastAsia="Arial" w:hAnsi="Verdana" w:cs="Calibri"/>
          <w:sz w:val="16"/>
          <w:szCs w:val="16"/>
        </w:rPr>
      </w:pPr>
      <w:r>
        <w:rPr>
          <w:rFonts w:ascii="Verdana" w:eastAsia="Arial" w:hAnsi="Verdana" w:cs="Calibri"/>
          <w:sz w:val="16"/>
          <w:szCs w:val="16"/>
        </w:rPr>
        <w:t>L</w:t>
      </w:r>
      <w:r w:rsidR="007C65B9" w:rsidRPr="00975DAB">
        <w:rPr>
          <w:rFonts w:ascii="Verdana" w:eastAsia="Arial" w:hAnsi="Verdana" w:cs="Calibri"/>
          <w:sz w:val="16"/>
          <w:szCs w:val="16"/>
        </w:rPr>
        <w:t>a fabricación, la transformación y la comercialización de tabaco y productos del tabaco;</w:t>
      </w:r>
    </w:p>
    <w:p w14:paraId="366D6802" w14:textId="1E1A2924" w:rsidR="007C65B9" w:rsidRPr="00975DAB" w:rsidRDefault="00975DAB" w:rsidP="00975DAB">
      <w:pPr>
        <w:pStyle w:val="Prrafodelista"/>
        <w:numPr>
          <w:ilvl w:val="0"/>
          <w:numId w:val="4"/>
        </w:numPr>
        <w:spacing w:after="60" w:line="240" w:lineRule="auto"/>
        <w:ind w:left="567" w:hanging="283"/>
        <w:contextualSpacing w:val="0"/>
        <w:jc w:val="both"/>
        <w:rPr>
          <w:rFonts w:ascii="Verdana" w:eastAsia="Arial" w:hAnsi="Verdana" w:cs="Calibri"/>
          <w:sz w:val="16"/>
          <w:szCs w:val="16"/>
        </w:rPr>
      </w:pPr>
      <w:r w:rsidRPr="00F1127A">
        <w:rPr>
          <w:rFonts w:ascii="Verdana" w:eastAsia="Arial" w:hAnsi="Verdana" w:cs="Calibri"/>
          <w:sz w:val="16"/>
          <w:szCs w:val="16"/>
        </w:rPr>
        <w:t>U</w:t>
      </w:r>
      <w:r w:rsidR="007C65B9" w:rsidRPr="00F1127A">
        <w:rPr>
          <w:rFonts w:ascii="Verdana" w:eastAsia="Arial" w:hAnsi="Verdana" w:cs="Calibri"/>
          <w:sz w:val="16"/>
          <w:szCs w:val="16"/>
        </w:rPr>
        <w:t xml:space="preserve">na empresa en crisis, tal como se define en el artículo 2, punto 18, del </w:t>
      </w:r>
      <w:hyperlink r:id="rId14" w:history="1">
        <w:r w:rsidR="007C65B9" w:rsidRPr="00F1127A">
          <w:rPr>
            <w:rStyle w:val="Hipervnculo"/>
            <w:rFonts w:ascii="Verdana" w:eastAsia="Arial" w:hAnsi="Verdana" w:cs="Calibri"/>
            <w:sz w:val="16"/>
            <w:szCs w:val="16"/>
          </w:rPr>
          <w:t>Reglamento (UE) 651/2014 de la Comisió</w:t>
        </w:r>
        <w:r w:rsidR="00CD1D73" w:rsidRPr="00F1127A">
          <w:rPr>
            <w:rStyle w:val="Hipervnculo"/>
            <w:rFonts w:ascii="Verdana" w:eastAsia="Arial" w:hAnsi="Verdana" w:cs="Calibri"/>
            <w:sz w:val="16"/>
            <w:szCs w:val="16"/>
          </w:rPr>
          <w:t>n de 17 de junio de 2014</w:t>
        </w:r>
      </w:hyperlink>
      <w:r w:rsidR="00CD1D73" w:rsidRPr="00975DAB">
        <w:rPr>
          <w:rFonts w:ascii="Verdana" w:eastAsia="Arial" w:hAnsi="Verdana" w:cs="Calibri"/>
          <w:sz w:val="16"/>
          <w:szCs w:val="16"/>
          <w:vertAlign w:val="superscript"/>
        </w:rPr>
        <w:t>(</w:t>
      </w:r>
      <w:r w:rsidR="007C65B9" w:rsidRPr="00975DAB">
        <w:rPr>
          <w:rStyle w:val="Refdenotaalpie"/>
          <w:rFonts w:ascii="Verdana" w:eastAsia="Arial" w:hAnsi="Verdana" w:cs="Calibri"/>
          <w:sz w:val="16"/>
          <w:szCs w:val="16"/>
        </w:rPr>
        <w:footnoteReference w:id="2"/>
      </w:r>
      <w:r w:rsidR="00CD1D73" w:rsidRPr="00975DAB">
        <w:rPr>
          <w:rFonts w:ascii="Verdana" w:eastAsia="Arial" w:hAnsi="Verdana" w:cs="Calibri"/>
          <w:sz w:val="16"/>
          <w:szCs w:val="16"/>
          <w:vertAlign w:val="superscript"/>
        </w:rPr>
        <w:t>)</w:t>
      </w:r>
      <w:r w:rsidR="007C65B9" w:rsidRPr="00975DAB">
        <w:rPr>
          <w:rFonts w:ascii="Verdana" w:eastAsia="Arial" w:hAnsi="Verdana" w:cs="Calibri"/>
          <w:sz w:val="16"/>
          <w:szCs w:val="16"/>
        </w:rPr>
        <w:t>, a menos que esté autorizada en virtud de normas temporales sobre ayudas estatales establecidas para hacer frente a circunstancias excepcionales o en el marco de ayudas de minimis para apoyar inversiones que reduzcan los costes energéticos en el contexto del proceso de transición energética;</w:t>
      </w:r>
    </w:p>
    <w:p w14:paraId="2300724A" w14:textId="2EC58C33" w:rsidR="007C65B9" w:rsidRPr="00975DAB" w:rsidRDefault="00975DAB" w:rsidP="00975DAB">
      <w:pPr>
        <w:pStyle w:val="Prrafodelista"/>
        <w:numPr>
          <w:ilvl w:val="0"/>
          <w:numId w:val="4"/>
        </w:numPr>
        <w:spacing w:after="120" w:line="240" w:lineRule="auto"/>
        <w:ind w:left="567" w:hanging="283"/>
        <w:contextualSpacing w:val="0"/>
        <w:jc w:val="both"/>
        <w:rPr>
          <w:rFonts w:ascii="Verdana" w:eastAsia="Arial" w:hAnsi="Verdana" w:cs="Calibri"/>
          <w:sz w:val="16"/>
          <w:szCs w:val="16"/>
        </w:rPr>
      </w:pPr>
      <w:r>
        <w:rPr>
          <w:rFonts w:ascii="Verdana" w:eastAsia="Arial" w:hAnsi="Verdana" w:cs="Calibri"/>
          <w:sz w:val="16"/>
          <w:szCs w:val="16"/>
        </w:rPr>
        <w:t>L</w:t>
      </w:r>
      <w:r w:rsidR="007C65B9" w:rsidRPr="00975DAB">
        <w:rPr>
          <w:rFonts w:ascii="Verdana" w:eastAsia="Arial" w:hAnsi="Verdana" w:cs="Calibri"/>
          <w:sz w:val="16"/>
          <w:szCs w:val="16"/>
        </w:rPr>
        <w:t>as inversiones relacionadas con la producción, la transformación, el transporte, la distribución, el almacenamiento o la combustión de combustibles fósiles.</w:t>
      </w:r>
    </w:p>
    <w:p w14:paraId="71F92EE1" w14:textId="77777777" w:rsidR="00100D20" w:rsidRPr="00975DAB" w:rsidRDefault="00100D20" w:rsidP="00975DAB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40" w:lineRule="auto"/>
        <w:ind w:left="284" w:hanging="284"/>
        <w:jc w:val="both"/>
        <w:rPr>
          <w:rFonts w:ascii="Verdana" w:eastAsia="Arial" w:hAnsi="Verdana" w:cs="Calibri"/>
          <w:b/>
          <w:sz w:val="16"/>
          <w:szCs w:val="16"/>
        </w:rPr>
      </w:pPr>
      <w:r w:rsidRPr="00975DAB">
        <w:rPr>
          <w:rFonts w:ascii="Verdana" w:eastAsia="Arial" w:hAnsi="Verdana" w:cs="Calibri"/>
          <w:b/>
          <w:sz w:val="16"/>
          <w:szCs w:val="16"/>
        </w:rPr>
        <w:t xml:space="preserve">LA ENTIDAD SOLICITANTE </w:t>
      </w:r>
      <w:r w:rsidRPr="00975DAB">
        <w:rPr>
          <w:rFonts w:ascii="Verdana" w:eastAsia="Arial" w:hAnsi="Verdana" w:cs="Calibri"/>
          <w:b/>
          <w:sz w:val="16"/>
          <w:szCs w:val="16"/>
          <w:u w:val="single"/>
        </w:rPr>
        <w:t>NO PREVÉ EFECTOS DIRECTOS</w:t>
      </w:r>
      <w:r w:rsidRPr="00975DAB">
        <w:rPr>
          <w:rFonts w:ascii="Verdana" w:eastAsia="Arial" w:hAnsi="Verdana" w:cs="Calibri"/>
          <w:b/>
          <w:sz w:val="16"/>
          <w:szCs w:val="16"/>
        </w:rPr>
        <w:t xml:space="preserve"> DEL PROYECTO O ACTIVIDAD SOBRE EL MEDIOAMBIENTE, NI </w:t>
      </w:r>
      <w:r w:rsidRPr="00975DAB">
        <w:rPr>
          <w:rFonts w:ascii="Verdana" w:eastAsia="Arial" w:hAnsi="Verdana" w:cs="Calibri"/>
          <w:b/>
          <w:sz w:val="16"/>
          <w:szCs w:val="16"/>
          <w:u w:val="single"/>
        </w:rPr>
        <w:t>EFECTOS INDIRECTOS PRIMARIOS</w:t>
      </w:r>
      <w:r w:rsidRPr="00975DAB">
        <w:rPr>
          <w:rFonts w:ascii="Verdana" w:eastAsia="Arial" w:hAnsi="Verdana" w:cs="Calibri"/>
          <w:sz w:val="16"/>
          <w:szCs w:val="16"/>
        </w:rPr>
        <w:t>, entendiendo como tales aquéllos que pudieran materializarse</w:t>
      </w:r>
      <w:r w:rsidRPr="00975DAB">
        <w:rPr>
          <w:rFonts w:ascii="Verdana" w:eastAsia="Arial" w:hAnsi="Verdana" w:cs="Calibri"/>
          <w:b/>
          <w:sz w:val="16"/>
          <w:szCs w:val="16"/>
          <w:u w:val="single"/>
        </w:rPr>
        <w:t xml:space="preserve"> </w:t>
      </w:r>
      <w:r w:rsidRPr="00975DAB">
        <w:rPr>
          <w:rFonts w:ascii="Verdana" w:eastAsia="Arial" w:hAnsi="Verdana" w:cs="Calibri"/>
          <w:sz w:val="16"/>
          <w:szCs w:val="16"/>
        </w:rPr>
        <w:t>tras su finalización, una vez realizado el proyecto o actividad.</w:t>
      </w:r>
    </w:p>
    <w:p w14:paraId="535DE485" w14:textId="4030E3AF" w:rsidR="007C65B9" w:rsidRPr="00975DAB" w:rsidRDefault="00ED06D7" w:rsidP="00510CBE">
      <w:pPr>
        <w:spacing w:after="120" w:line="240" w:lineRule="auto"/>
        <w:jc w:val="both"/>
        <w:rPr>
          <w:rFonts w:ascii="Verdana" w:eastAsia="Arial" w:hAnsi="Verdana" w:cs="Calibri"/>
          <w:sz w:val="16"/>
          <w:szCs w:val="16"/>
        </w:rPr>
      </w:pPr>
      <w:r w:rsidRPr="00975DAB">
        <w:rPr>
          <w:rFonts w:ascii="Verdana" w:eastAsia="Arial" w:hAnsi="Verdana" w:cs="Calibri"/>
          <w:sz w:val="16"/>
          <w:szCs w:val="16"/>
        </w:rPr>
        <w:t>A</w:t>
      </w:r>
      <w:r w:rsidR="007C65B9" w:rsidRPr="00975DAB">
        <w:rPr>
          <w:rFonts w:ascii="Verdana" w:eastAsia="Arial" w:hAnsi="Verdana" w:cs="Calibri"/>
          <w:sz w:val="16"/>
          <w:szCs w:val="16"/>
        </w:rPr>
        <w:t xml:space="preserve"> la finalización del proyecto</w:t>
      </w:r>
      <w:r w:rsidRPr="00975DAB">
        <w:rPr>
          <w:rFonts w:ascii="Verdana" w:eastAsia="Arial" w:hAnsi="Verdana" w:cs="Calibri"/>
          <w:sz w:val="16"/>
          <w:szCs w:val="16"/>
        </w:rPr>
        <w:t xml:space="preserve">, el beneficiario deberá presentar la </w:t>
      </w:r>
      <w:r w:rsidR="007C65B9" w:rsidRPr="00975DAB">
        <w:rPr>
          <w:rFonts w:ascii="Verdana" w:eastAsia="Arial" w:hAnsi="Verdana" w:cs="Calibri"/>
          <w:sz w:val="16"/>
          <w:szCs w:val="16"/>
        </w:rPr>
        <w:t>justificación del cumplimiento de este principio</w:t>
      </w:r>
      <w:r w:rsidR="00577C1B" w:rsidRPr="00975DAB">
        <w:rPr>
          <w:rFonts w:ascii="Verdana" w:eastAsia="Arial" w:hAnsi="Verdana" w:cs="Calibri"/>
          <w:sz w:val="16"/>
          <w:szCs w:val="16"/>
        </w:rPr>
        <w:t xml:space="preserve"> según su normativa de aplicación, especialmente</w:t>
      </w:r>
      <w:r w:rsidR="00577C1B" w:rsidRPr="00975DAB">
        <w:rPr>
          <w:rFonts w:ascii="Verdana" w:hAnsi="Verdana"/>
          <w:sz w:val="16"/>
          <w:szCs w:val="16"/>
          <w:shd w:val="clear" w:color="auto" w:fill="FFFFFF"/>
        </w:rPr>
        <w:t xml:space="preserve"> el </w:t>
      </w:r>
      <w:hyperlink r:id="rId15" w:history="1">
        <w:r w:rsidR="00577C1B" w:rsidRPr="00975DAB">
          <w:rPr>
            <w:rStyle w:val="Hipervnculo"/>
            <w:rFonts w:ascii="Verdana" w:hAnsi="Verdana"/>
            <w:sz w:val="16"/>
            <w:szCs w:val="16"/>
            <w:shd w:val="clear" w:color="auto" w:fill="FFFFFF"/>
          </w:rPr>
          <w:t>Reglamento (UE) 2020/852 del Parlamento Europeo y del Consejo, de 18 de junio de 2020</w:t>
        </w:r>
      </w:hyperlink>
      <w:r w:rsidR="00577C1B" w:rsidRPr="00975DAB">
        <w:rPr>
          <w:rFonts w:ascii="Verdana" w:hAnsi="Verdana"/>
          <w:sz w:val="16"/>
          <w:szCs w:val="16"/>
          <w:shd w:val="clear" w:color="auto" w:fill="FFFFFF"/>
        </w:rPr>
        <w:t>, relativo al establecimiento de un marco para facilitar las inversiones sostenibles, y por el que se modifica el Reglamento (UE) 2019/2088, (Reglamento de Taxonomía), y la Guía Técnica de la Comisión Europea (2021/C 58/01) sobre la aplicación de este principio.</w:t>
      </w:r>
    </w:p>
    <w:p w14:paraId="7F886D30" w14:textId="2E7632F9" w:rsidR="00100D20" w:rsidRPr="00975DAB" w:rsidRDefault="00100D20" w:rsidP="00510CBE">
      <w:pPr>
        <w:spacing w:after="120" w:line="240" w:lineRule="auto"/>
        <w:jc w:val="both"/>
        <w:rPr>
          <w:rFonts w:ascii="Verdana" w:eastAsia="Arial" w:hAnsi="Verdana" w:cs="Calibri"/>
          <w:sz w:val="16"/>
          <w:szCs w:val="16"/>
        </w:rPr>
      </w:pPr>
      <w:r w:rsidRPr="00975DAB">
        <w:rPr>
          <w:rFonts w:ascii="Verdana" w:eastAsia="Arial" w:hAnsi="Verdana" w:cs="Calibri"/>
          <w:sz w:val="16"/>
          <w:szCs w:val="16"/>
        </w:rPr>
        <w:t>El incumplimiento de alguno de los requisitos establecido</w:t>
      </w:r>
      <w:r w:rsidR="00685D22" w:rsidRPr="00975DAB">
        <w:rPr>
          <w:rFonts w:ascii="Verdana" w:eastAsia="Arial" w:hAnsi="Verdana" w:cs="Calibri"/>
          <w:sz w:val="16"/>
          <w:szCs w:val="16"/>
        </w:rPr>
        <w:t>s</w:t>
      </w:r>
      <w:r w:rsidRPr="00975DAB">
        <w:rPr>
          <w:rFonts w:ascii="Verdana" w:eastAsia="Arial" w:hAnsi="Verdana" w:cs="Calibri"/>
          <w:sz w:val="16"/>
          <w:szCs w:val="16"/>
        </w:rPr>
        <w:t xml:space="preserve"> en la presente declaración dará</w:t>
      </w:r>
      <w:r w:rsidR="00685D22" w:rsidRPr="00975DAB">
        <w:rPr>
          <w:rFonts w:ascii="Verdana" w:eastAsia="Arial" w:hAnsi="Verdana" w:cs="Calibri"/>
          <w:sz w:val="16"/>
          <w:szCs w:val="16"/>
        </w:rPr>
        <w:t xml:space="preserve"> lugar</w:t>
      </w:r>
      <w:r w:rsidRPr="00975DAB">
        <w:rPr>
          <w:rFonts w:ascii="Verdana" w:eastAsia="Arial" w:hAnsi="Verdana" w:cs="Calibri"/>
          <w:sz w:val="16"/>
          <w:szCs w:val="16"/>
        </w:rPr>
        <w:t>, previo el oportuno procedimiento de reintegro, a la obligación de devolver las ayudas percibidas y los intereses de demora correspondientes.</w:t>
      </w:r>
    </w:p>
    <w:p w14:paraId="5232E6B8" w14:textId="77777777" w:rsidR="007707D5" w:rsidRPr="00975DAB" w:rsidRDefault="007707D5" w:rsidP="00510CBE">
      <w:pPr>
        <w:spacing w:after="120" w:line="240" w:lineRule="auto"/>
        <w:jc w:val="both"/>
        <w:rPr>
          <w:rFonts w:ascii="Verdana" w:eastAsia="Arial" w:hAnsi="Verdana" w:cs="Calibri"/>
          <w:sz w:val="16"/>
          <w:szCs w:val="16"/>
        </w:rPr>
      </w:pPr>
    </w:p>
    <w:p w14:paraId="321B6C4E" w14:textId="77777777" w:rsidR="007707D5" w:rsidRPr="00975DAB" w:rsidRDefault="007707D5" w:rsidP="00510CBE">
      <w:pPr>
        <w:spacing w:after="120" w:line="240" w:lineRule="auto"/>
        <w:jc w:val="both"/>
        <w:rPr>
          <w:rFonts w:ascii="Verdana" w:eastAsia="Arial" w:hAnsi="Verdana" w:cs="Calibri"/>
          <w:sz w:val="16"/>
          <w:szCs w:val="16"/>
        </w:rPr>
      </w:pPr>
    </w:p>
    <w:p w14:paraId="4141E395" w14:textId="77777777" w:rsidR="007707D5" w:rsidRPr="00975DAB" w:rsidRDefault="007707D5" w:rsidP="00510CBE">
      <w:pPr>
        <w:spacing w:after="120" w:line="240" w:lineRule="auto"/>
        <w:jc w:val="both"/>
        <w:rPr>
          <w:rFonts w:ascii="Verdana" w:eastAsia="Arial" w:hAnsi="Verdana" w:cs="Calibri"/>
          <w:sz w:val="16"/>
          <w:szCs w:val="16"/>
        </w:rPr>
      </w:pPr>
    </w:p>
    <w:p w14:paraId="1E2F8923" w14:textId="54EE60F7" w:rsidR="00100D20" w:rsidRPr="00975DAB" w:rsidRDefault="00953834" w:rsidP="00510CBE">
      <w:pPr>
        <w:spacing w:after="240" w:line="24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975DAB">
        <w:rPr>
          <w:rFonts w:ascii="Verdana" w:hAnsi="Verdana"/>
          <w:b/>
          <w:bCs/>
          <w:sz w:val="16"/>
          <w:szCs w:val="16"/>
        </w:rPr>
        <w:t xml:space="preserve">Firma electrónica del representante legal </w:t>
      </w:r>
      <w:r w:rsidRPr="00975DAB">
        <w:rPr>
          <w:rFonts w:ascii="Verdana" w:hAnsi="Verdana"/>
          <w:b/>
          <w:bCs/>
          <w:sz w:val="16"/>
          <w:szCs w:val="16"/>
          <w:vertAlign w:val="superscript"/>
        </w:rPr>
        <w:t>(</w:t>
      </w:r>
      <w:r w:rsidRPr="00975DAB">
        <w:rPr>
          <w:rStyle w:val="Refdenotaalpie"/>
          <w:rFonts w:ascii="Verdana" w:hAnsi="Verdana"/>
          <w:b/>
          <w:bCs/>
          <w:sz w:val="16"/>
          <w:szCs w:val="16"/>
        </w:rPr>
        <w:footnoteReference w:id="3"/>
      </w:r>
      <w:r w:rsidRPr="00975DAB">
        <w:rPr>
          <w:rFonts w:ascii="Verdana" w:hAnsi="Verdana"/>
          <w:b/>
          <w:bCs/>
          <w:sz w:val="16"/>
          <w:szCs w:val="16"/>
          <w:vertAlign w:val="superscript"/>
        </w:rPr>
        <w:t>)</w:t>
      </w:r>
    </w:p>
    <w:sectPr w:rsidR="00100D20" w:rsidRPr="00975DAB" w:rsidSect="00B45CFA">
      <w:headerReference w:type="default" r:id="rId16"/>
      <w:footerReference w:type="default" r:id="rId17"/>
      <w:pgSz w:w="11906" w:h="16838"/>
      <w:pgMar w:top="1843" w:right="1418" w:bottom="1418" w:left="1418" w:header="284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CD301" w14:textId="77777777" w:rsidR="005C1F46" w:rsidRDefault="005C1F46" w:rsidP="00100D20">
      <w:pPr>
        <w:spacing w:after="0" w:line="240" w:lineRule="auto"/>
      </w:pPr>
      <w:r>
        <w:separator/>
      </w:r>
    </w:p>
  </w:endnote>
  <w:endnote w:type="continuationSeparator" w:id="0">
    <w:p w14:paraId="48F4B151" w14:textId="77777777" w:rsidR="005C1F46" w:rsidRDefault="005C1F46" w:rsidP="00100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F1127A" w14:paraId="748BB595" w14:textId="77777777" w:rsidTr="00294E9F">
      <w:tc>
        <w:tcPr>
          <w:tcW w:w="9203" w:type="dxa"/>
        </w:tcPr>
        <w:p w14:paraId="1AF999BD" w14:textId="77777777" w:rsidR="00F1127A" w:rsidRPr="0062707D" w:rsidRDefault="00F1127A" w:rsidP="00F1127A">
          <w:pPr>
            <w:pStyle w:val="Piedepgina"/>
            <w:tabs>
              <w:tab w:val="clear" w:pos="4252"/>
            </w:tabs>
            <w:jc w:val="center"/>
            <w:rPr>
              <w:rStyle w:val="nfasis"/>
              <w:rFonts w:eastAsia="Times New Roman"/>
              <w:b/>
              <w:i/>
              <w:sz w:val="15"/>
              <w:szCs w:val="15"/>
              <w:lang w:val="x-none" w:eastAsia="x-none"/>
            </w:rPr>
          </w:pPr>
          <w:r>
            <w:rPr>
              <w:noProof/>
            </w:rPr>
            <w:drawing>
              <wp:inline distT="0" distB="0" distL="0" distR="0" wp14:anchorId="3C3112BB" wp14:editId="0843B80F">
                <wp:extent cx="5514975" cy="509270"/>
                <wp:effectExtent l="0" t="0" r="9525" b="5080"/>
                <wp:docPr id="145410262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9423489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7433" cy="5094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1127A" w14:paraId="662F35D5" w14:textId="77777777" w:rsidTr="00294E9F">
      <w:tc>
        <w:tcPr>
          <w:tcW w:w="9203" w:type="dxa"/>
        </w:tcPr>
        <w:p w14:paraId="2EC211BC" w14:textId="77777777" w:rsidR="00F1127A" w:rsidRPr="00525653" w:rsidRDefault="00F1127A" w:rsidP="00F1127A">
          <w:pPr>
            <w:pStyle w:val="Piedepgina"/>
            <w:tabs>
              <w:tab w:val="clear" w:pos="4252"/>
            </w:tabs>
            <w:jc w:val="center"/>
            <w:rPr>
              <w:rStyle w:val="nfasis"/>
              <w:rFonts w:eastAsia="Times New Roman"/>
              <w:b/>
              <w:sz w:val="15"/>
              <w:szCs w:val="15"/>
              <w:lang w:val="x-none" w:eastAsia="x-none"/>
            </w:rPr>
          </w:pPr>
          <w:r w:rsidRPr="00525653">
            <w:rPr>
              <w:rStyle w:val="nfasis"/>
              <w:rFonts w:eastAsia="Times New Roman"/>
              <w:b/>
              <w:sz w:val="15"/>
              <w:szCs w:val="15"/>
              <w:lang w:val="x-none" w:eastAsia="x-none"/>
            </w:rPr>
            <w:t xml:space="preserve">Convocatoria </w:t>
          </w:r>
          <w:r>
            <w:rPr>
              <w:rStyle w:val="nfasis"/>
              <w:rFonts w:eastAsia="Times New Roman"/>
              <w:b/>
              <w:sz w:val="15"/>
              <w:szCs w:val="15"/>
              <w:lang w:eastAsia="x-none"/>
            </w:rPr>
            <w:t>Hiperautomatización</w:t>
          </w:r>
          <w:r w:rsidRPr="00525653">
            <w:rPr>
              <w:rStyle w:val="nfasis"/>
              <w:rFonts w:eastAsia="Times New Roman"/>
              <w:b/>
              <w:sz w:val="15"/>
              <w:szCs w:val="15"/>
              <w:lang w:val="x-none" w:eastAsia="x-none"/>
            </w:rPr>
            <w:t xml:space="preserve"> 2024</w:t>
          </w:r>
          <w:r>
            <w:rPr>
              <w:rStyle w:val="nfasis"/>
              <w:rFonts w:eastAsia="Times New Roman"/>
              <w:b/>
              <w:sz w:val="15"/>
              <w:szCs w:val="15"/>
              <w:lang w:eastAsia="x-none"/>
            </w:rPr>
            <w:t xml:space="preserve"> -  </w:t>
          </w:r>
          <w:r w:rsidRPr="00525653">
            <w:rPr>
              <w:rStyle w:val="nfasis"/>
              <w:rFonts w:eastAsia="Times New Roman"/>
              <w:b/>
              <w:sz w:val="15"/>
              <w:szCs w:val="15"/>
              <w:lang w:val="x-none" w:eastAsia="x-none"/>
            </w:rPr>
            <w:t xml:space="preserve">Página </w:t>
          </w:r>
          <w:r w:rsidRPr="00525653">
            <w:rPr>
              <w:rStyle w:val="nfasis"/>
              <w:rFonts w:eastAsia="Times New Roman"/>
              <w:b/>
              <w:sz w:val="15"/>
              <w:szCs w:val="15"/>
              <w:lang w:val="x-none" w:eastAsia="x-none"/>
            </w:rPr>
            <w:fldChar w:fldCharType="begin"/>
          </w:r>
          <w:r w:rsidRPr="00525653">
            <w:rPr>
              <w:rStyle w:val="nfasis"/>
              <w:rFonts w:eastAsia="Times New Roman"/>
              <w:b/>
              <w:sz w:val="15"/>
              <w:szCs w:val="15"/>
              <w:lang w:val="x-none" w:eastAsia="x-none"/>
            </w:rPr>
            <w:instrText>PAGE</w:instrText>
          </w:r>
          <w:r w:rsidRPr="00525653">
            <w:rPr>
              <w:rStyle w:val="nfasis"/>
              <w:rFonts w:eastAsia="Times New Roman"/>
              <w:b/>
              <w:sz w:val="15"/>
              <w:szCs w:val="15"/>
              <w:lang w:val="x-none" w:eastAsia="x-none"/>
            </w:rPr>
            <w:fldChar w:fldCharType="separate"/>
          </w:r>
          <w:r>
            <w:rPr>
              <w:rStyle w:val="nfasis"/>
              <w:b/>
              <w:sz w:val="15"/>
              <w:szCs w:val="15"/>
              <w:lang w:val="x-none" w:eastAsia="x-none"/>
            </w:rPr>
            <w:t>14</w:t>
          </w:r>
          <w:r w:rsidRPr="00525653">
            <w:rPr>
              <w:rStyle w:val="nfasis"/>
              <w:rFonts w:eastAsia="Times New Roman"/>
              <w:b/>
              <w:sz w:val="15"/>
              <w:szCs w:val="15"/>
              <w:lang w:val="x-none" w:eastAsia="x-none"/>
            </w:rPr>
            <w:fldChar w:fldCharType="end"/>
          </w:r>
          <w:r w:rsidRPr="00525653">
            <w:rPr>
              <w:rStyle w:val="nfasis"/>
              <w:rFonts w:eastAsia="Times New Roman"/>
              <w:b/>
              <w:sz w:val="15"/>
              <w:szCs w:val="15"/>
              <w:lang w:val="x-none" w:eastAsia="x-none"/>
            </w:rPr>
            <w:t xml:space="preserve"> de </w:t>
          </w:r>
          <w:r w:rsidRPr="00525653">
            <w:rPr>
              <w:rStyle w:val="nfasis"/>
              <w:rFonts w:eastAsia="Times New Roman"/>
              <w:b/>
              <w:sz w:val="15"/>
              <w:szCs w:val="15"/>
              <w:lang w:val="x-none" w:eastAsia="x-none"/>
            </w:rPr>
            <w:fldChar w:fldCharType="begin"/>
          </w:r>
          <w:r w:rsidRPr="00525653">
            <w:rPr>
              <w:rStyle w:val="nfasis"/>
              <w:rFonts w:eastAsia="Times New Roman"/>
              <w:b/>
              <w:sz w:val="15"/>
              <w:szCs w:val="15"/>
              <w:lang w:val="x-none" w:eastAsia="x-none"/>
            </w:rPr>
            <w:instrText>NUMPAGES</w:instrText>
          </w:r>
          <w:r w:rsidRPr="00525653">
            <w:rPr>
              <w:rStyle w:val="nfasis"/>
              <w:rFonts w:eastAsia="Times New Roman"/>
              <w:b/>
              <w:sz w:val="15"/>
              <w:szCs w:val="15"/>
              <w:lang w:val="x-none" w:eastAsia="x-none"/>
            </w:rPr>
            <w:fldChar w:fldCharType="separate"/>
          </w:r>
          <w:r>
            <w:rPr>
              <w:rStyle w:val="nfasis"/>
              <w:b/>
              <w:sz w:val="15"/>
              <w:szCs w:val="15"/>
              <w:lang w:val="x-none" w:eastAsia="x-none"/>
            </w:rPr>
            <w:t>21</w:t>
          </w:r>
          <w:r w:rsidRPr="00525653">
            <w:rPr>
              <w:rStyle w:val="nfasis"/>
              <w:rFonts w:eastAsia="Times New Roman"/>
              <w:b/>
              <w:sz w:val="15"/>
              <w:szCs w:val="15"/>
              <w:lang w:val="x-none" w:eastAsia="x-none"/>
            </w:rPr>
            <w:fldChar w:fldCharType="end"/>
          </w:r>
        </w:p>
      </w:tc>
    </w:tr>
  </w:tbl>
  <w:p w14:paraId="39DD37B6" w14:textId="77777777" w:rsidR="00B45CFA" w:rsidRPr="00B45CFA" w:rsidRDefault="00B45CFA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CD10B" w14:textId="77777777" w:rsidR="005C1F46" w:rsidRDefault="005C1F46" w:rsidP="00100D20">
      <w:pPr>
        <w:spacing w:after="0" w:line="240" w:lineRule="auto"/>
      </w:pPr>
      <w:r>
        <w:separator/>
      </w:r>
    </w:p>
  </w:footnote>
  <w:footnote w:type="continuationSeparator" w:id="0">
    <w:p w14:paraId="402343A0" w14:textId="77777777" w:rsidR="005C1F46" w:rsidRDefault="005C1F46" w:rsidP="00100D20">
      <w:pPr>
        <w:spacing w:after="0" w:line="240" w:lineRule="auto"/>
      </w:pPr>
      <w:r>
        <w:continuationSeparator/>
      </w:r>
    </w:p>
  </w:footnote>
  <w:footnote w:id="1">
    <w:p w14:paraId="6FD85CF8" w14:textId="266A15C8" w:rsidR="00100D20" w:rsidRPr="00975DAB" w:rsidRDefault="00803062" w:rsidP="00803062">
      <w:pPr>
        <w:pStyle w:val="Textonotapie"/>
        <w:ind w:left="142" w:hanging="142"/>
        <w:jc w:val="both"/>
        <w:rPr>
          <w:rFonts w:ascii="Verdana" w:hAnsi="Verdana" w:cs="Calibri"/>
          <w:i/>
          <w:iCs/>
          <w:sz w:val="14"/>
          <w:szCs w:val="14"/>
          <w:lang w:val="es-ES"/>
        </w:rPr>
      </w:pPr>
      <w:r w:rsidRPr="00975DAB">
        <w:rPr>
          <w:rFonts w:ascii="Verdana" w:hAnsi="Verdana" w:cs="Calibri"/>
          <w:i/>
          <w:iCs/>
          <w:sz w:val="14"/>
          <w:szCs w:val="14"/>
          <w:vertAlign w:val="superscript"/>
          <w:lang w:val="es-ES"/>
        </w:rPr>
        <w:t>(</w:t>
      </w:r>
      <w:r w:rsidR="00100D20" w:rsidRPr="00975DAB">
        <w:rPr>
          <w:rStyle w:val="Refdenotaalpie"/>
          <w:rFonts w:ascii="Verdana" w:hAnsi="Verdana" w:cs="Calibri"/>
          <w:i/>
          <w:iCs/>
          <w:sz w:val="14"/>
          <w:szCs w:val="14"/>
        </w:rPr>
        <w:footnoteRef/>
      </w:r>
      <w:r w:rsidRPr="00975DAB">
        <w:rPr>
          <w:rFonts w:ascii="Verdana" w:hAnsi="Verdana" w:cs="Calibri"/>
          <w:i/>
          <w:iCs/>
          <w:sz w:val="14"/>
          <w:szCs w:val="14"/>
          <w:vertAlign w:val="superscript"/>
          <w:lang w:val="es-ES"/>
        </w:rPr>
        <w:t>)</w:t>
      </w:r>
      <w:r w:rsidR="00100D20" w:rsidRPr="00975DAB">
        <w:rPr>
          <w:rFonts w:ascii="Verdana" w:hAnsi="Verdana" w:cs="Calibri"/>
          <w:i/>
          <w:iCs/>
          <w:sz w:val="14"/>
          <w:szCs w:val="14"/>
          <w:lang w:val="es-ES"/>
        </w:rPr>
        <w:t xml:space="preserve"> </w:t>
      </w:r>
      <w:hyperlink r:id="rId1" w:history="1">
        <w:r w:rsidR="00100D20" w:rsidRPr="00975DAB">
          <w:rPr>
            <w:rStyle w:val="Hipervnculo"/>
            <w:rFonts w:ascii="Verdana" w:hAnsi="Verdana" w:cs="Calibri"/>
            <w:i/>
            <w:iCs/>
            <w:sz w:val="14"/>
            <w:szCs w:val="14"/>
            <w:lang w:val="es-ES"/>
          </w:rPr>
          <w:t>Reglamento (UE) 2020/852 del Parlamento Europeo y del Consejo de 18 de junio de 2020</w:t>
        </w:r>
      </w:hyperlink>
      <w:r w:rsidR="00100D20" w:rsidRPr="00975DAB">
        <w:rPr>
          <w:rFonts w:ascii="Verdana" w:hAnsi="Verdana" w:cs="Calibri"/>
          <w:i/>
          <w:iCs/>
          <w:sz w:val="14"/>
          <w:szCs w:val="14"/>
          <w:lang w:val="es-ES"/>
        </w:rPr>
        <w:t xml:space="preserve"> relativo al establecimiento de un marco para facilitar las inversiones sostenibles y por el que se modifica el Reglamento (UE) 2019/2088.</w:t>
      </w:r>
    </w:p>
  </w:footnote>
  <w:footnote w:id="2">
    <w:p w14:paraId="05C103B7" w14:textId="7ED12D96" w:rsidR="007C65B9" w:rsidRPr="00975DAB" w:rsidRDefault="00CD1D73" w:rsidP="00DD2B80">
      <w:pPr>
        <w:pStyle w:val="Textonotapie"/>
        <w:spacing w:after="120"/>
        <w:ind w:left="142" w:hanging="142"/>
        <w:jc w:val="both"/>
        <w:rPr>
          <w:rFonts w:ascii="Verdana" w:hAnsi="Verdana"/>
          <w:sz w:val="14"/>
          <w:szCs w:val="14"/>
          <w:lang w:val="es-ES"/>
        </w:rPr>
      </w:pPr>
      <w:r w:rsidRPr="00975DAB">
        <w:rPr>
          <w:rFonts w:ascii="Verdana" w:hAnsi="Verdana"/>
          <w:i/>
          <w:iCs/>
          <w:sz w:val="14"/>
          <w:szCs w:val="14"/>
          <w:vertAlign w:val="superscript"/>
          <w:lang w:val="es-ES"/>
        </w:rPr>
        <w:t>(</w:t>
      </w:r>
      <w:r w:rsidR="007C65B9" w:rsidRPr="00975DAB">
        <w:rPr>
          <w:rStyle w:val="Refdenotaalpie"/>
          <w:rFonts w:ascii="Verdana" w:hAnsi="Verdana"/>
          <w:i/>
          <w:iCs/>
          <w:sz w:val="14"/>
          <w:szCs w:val="14"/>
        </w:rPr>
        <w:footnoteRef/>
      </w:r>
      <w:r w:rsidRPr="00975DAB">
        <w:rPr>
          <w:rFonts w:ascii="Verdana" w:hAnsi="Verdana"/>
          <w:i/>
          <w:iCs/>
          <w:sz w:val="14"/>
          <w:szCs w:val="14"/>
          <w:vertAlign w:val="superscript"/>
          <w:lang w:val="es-ES"/>
        </w:rPr>
        <w:t>)</w:t>
      </w:r>
      <w:r w:rsidR="007C65B9" w:rsidRPr="00975DAB">
        <w:rPr>
          <w:rFonts w:ascii="Verdana" w:hAnsi="Verdana"/>
          <w:sz w:val="14"/>
          <w:szCs w:val="14"/>
          <w:lang w:val="es-ES"/>
        </w:rPr>
        <w:t xml:space="preserve"> </w:t>
      </w:r>
      <w:hyperlink r:id="rId2" w:history="1">
        <w:r w:rsidR="007C65B9" w:rsidRPr="00975DAB">
          <w:rPr>
            <w:rStyle w:val="Hipervnculo"/>
            <w:rFonts w:ascii="Verdana" w:eastAsia="Arial" w:hAnsi="Verdana" w:cs="Calibri"/>
            <w:i/>
            <w:iCs/>
            <w:sz w:val="14"/>
            <w:szCs w:val="14"/>
            <w:lang w:val="es-ES"/>
          </w:rPr>
          <w:t>Reglamento (UE) 651/2014 de la Comisión, de 17 de junio de 2014</w:t>
        </w:r>
      </w:hyperlink>
      <w:r w:rsidR="007C65B9" w:rsidRPr="00975DAB">
        <w:rPr>
          <w:rFonts w:ascii="Verdana" w:eastAsia="Arial" w:hAnsi="Verdana" w:cs="Calibri"/>
          <w:i/>
          <w:iCs/>
          <w:sz w:val="14"/>
          <w:szCs w:val="14"/>
          <w:lang w:val="es-ES"/>
        </w:rPr>
        <w:t>, por el que se declaran determinadas categorías de ayudas compatibles con el mercado interior en aplicación de los artículos 107 y 108 del Tratado (DO L 187 de 26.6.2014, p. 1)</w:t>
      </w:r>
    </w:p>
  </w:footnote>
  <w:footnote w:id="3">
    <w:p w14:paraId="485FB5D3" w14:textId="77777777" w:rsidR="00953834" w:rsidRPr="00975DAB" w:rsidRDefault="00953834" w:rsidP="00DD2B80">
      <w:pPr>
        <w:spacing w:after="60" w:line="240" w:lineRule="auto"/>
        <w:ind w:left="142" w:hanging="142"/>
        <w:jc w:val="both"/>
        <w:rPr>
          <w:rFonts w:ascii="Verdana" w:hAnsi="Verdana"/>
          <w:i/>
          <w:iCs/>
          <w:sz w:val="14"/>
          <w:szCs w:val="14"/>
        </w:rPr>
      </w:pPr>
      <w:r w:rsidRPr="00975DAB">
        <w:rPr>
          <w:rFonts w:ascii="Verdana" w:hAnsi="Verdana"/>
          <w:i/>
          <w:iCs/>
          <w:sz w:val="14"/>
          <w:szCs w:val="14"/>
          <w:vertAlign w:val="superscript"/>
        </w:rPr>
        <w:t>(</w:t>
      </w:r>
      <w:r w:rsidRPr="00975DAB">
        <w:rPr>
          <w:rStyle w:val="Refdenotaalpie"/>
          <w:rFonts w:ascii="Verdana" w:hAnsi="Verdana"/>
          <w:i/>
          <w:iCs/>
          <w:sz w:val="14"/>
          <w:szCs w:val="14"/>
        </w:rPr>
        <w:footnoteRef/>
      </w:r>
      <w:r w:rsidRPr="00975DAB">
        <w:rPr>
          <w:rFonts w:ascii="Verdana" w:hAnsi="Verdana"/>
          <w:i/>
          <w:iCs/>
          <w:sz w:val="14"/>
          <w:szCs w:val="14"/>
          <w:vertAlign w:val="superscript"/>
        </w:rPr>
        <w:t>)</w:t>
      </w:r>
      <w:r w:rsidRPr="00975DAB">
        <w:rPr>
          <w:rFonts w:ascii="Verdana" w:hAnsi="Verdana"/>
          <w:i/>
          <w:iCs/>
          <w:sz w:val="14"/>
          <w:szCs w:val="14"/>
        </w:rPr>
        <w:t xml:space="preserve"> En el caso de representación mancomunada el formulario deberá venir firmado electrónicamente mediante firma electrónica reconocida por todos los representantes legales correspondientes.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C87AF" w14:textId="1BF09085" w:rsidR="00325BC7" w:rsidRDefault="00B45CFA" w:rsidP="006A3FD3">
    <w:pPr>
      <w:pStyle w:val="NormalWeb"/>
      <w:jc w:val="right"/>
    </w:pPr>
    <w:r>
      <w:rPr>
        <w:noProof/>
      </w:rPr>
      <w:drawing>
        <wp:inline distT="0" distB="0" distL="0" distR="0" wp14:anchorId="76E503B2" wp14:editId="4ACBCB82">
          <wp:extent cx="1914144" cy="728472"/>
          <wp:effectExtent l="0" t="0" r="0" b="0"/>
          <wp:docPr id="581201643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87061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144" cy="728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A3F86"/>
    <w:multiLevelType w:val="multilevel"/>
    <w:tmpl w:val="711244E6"/>
    <w:lvl w:ilvl="0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352" w:hanging="432"/>
      </w:pPr>
    </w:lvl>
    <w:lvl w:ilvl="2">
      <w:start w:val="1"/>
      <w:numFmt w:val="decimal"/>
      <w:lvlText w:val="%1.%2.%3."/>
      <w:lvlJc w:val="left"/>
      <w:pPr>
        <w:ind w:left="2784" w:hanging="504"/>
      </w:pPr>
    </w:lvl>
    <w:lvl w:ilvl="3">
      <w:start w:val="1"/>
      <w:numFmt w:val="decimal"/>
      <w:lvlText w:val="%1.%2.%3.%4."/>
      <w:lvlJc w:val="left"/>
      <w:pPr>
        <w:ind w:left="3288" w:hanging="648"/>
      </w:pPr>
    </w:lvl>
    <w:lvl w:ilvl="4">
      <w:start w:val="1"/>
      <w:numFmt w:val="decimal"/>
      <w:lvlText w:val="%1.%2.%3.%4.%5."/>
      <w:lvlJc w:val="left"/>
      <w:pPr>
        <w:ind w:left="3792" w:hanging="792"/>
      </w:pPr>
    </w:lvl>
    <w:lvl w:ilvl="5">
      <w:start w:val="1"/>
      <w:numFmt w:val="decimal"/>
      <w:lvlText w:val="%1.%2.%3.%4.%5.%6."/>
      <w:lvlJc w:val="left"/>
      <w:pPr>
        <w:ind w:left="4296" w:hanging="936"/>
      </w:pPr>
    </w:lvl>
    <w:lvl w:ilvl="6">
      <w:start w:val="1"/>
      <w:numFmt w:val="decimal"/>
      <w:lvlText w:val="%1.%2.%3.%4.%5.%6.%7."/>
      <w:lvlJc w:val="left"/>
      <w:pPr>
        <w:ind w:left="4800" w:hanging="1080"/>
      </w:pPr>
    </w:lvl>
    <w:lvl w:ilvl="7">
      <w:start w:val="1"/>
      <w:numFmt w:val="decimal"/>
      <w:lvlText w:val="%1.%2.%3.%4.%5.%6.%7.%8."/>
      <w:lvlJc w:val="left"/>
      <w:pPr>
        <w:ind w:left="5304" w:hanging="1224"/>
      </w:pPr>
    </w:lvl>
    <w:lvl w:ilvl="8">
      <w:start w:val="1"/>
      <w:numFmt w:val="decimal"/>
      <w:lvlText w:val="%1.%2.%3.%4.%5.%6.%7.%8.%9."/>
      <w:lvlJc w:val="left"/>
      <w:pPr>
        <w:ind w:left="5880" w:hanging="1440"/>
      </w:pPr>
    </w:lvl>
  </w:abstractNum>
  <w:abstractNum w:abstractNumId="1" w15:restartNumberingAfterBreak="0">
    <w:nsid w:val="15E364CA"/>
    <w:multiLevelType w:val="multilevel"/>
    <w:tmpl w:val="ECF299A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" w15:restartNumberingAfterBreak="0">
    <w:nsid w:val="5013316F"/>
    <w:multiLevelType w:val="hybridMultilevel"/>
    <w:tmpl w:val="6F382BE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06655"/>
    <w:multiLevelType w:val="hybridMultilevel"/>
    <w:tmpl w:val="4FE2017C"/>
    <w:lvl w:ilvl="0" w:tplc="0C0A000F">
      <w:start w:val="1"/>
      <w:numFmt w:val="decimal"/>
      <w:lvlText w:val="%1."/>
      <w:lvlJc w:val="left"/>
      <w:pPr>
        <w:ind w:left="930" w:hanging="360"/>
      </w:pPr>
    </w:lvl>
    <w:lvl w:ilvl="1" w:tplc="0C0A0019" w:tentative="1">
      <w:start w:val="1"/>
      <w:numFmt w:val="lowerLetter"/>
      <w:lvlText w:val="%2."/>
      <w:lvlJc w:val="left"/>
      <w:pPr>
        <w:ind w:left="1650" w:hanging="360"/>
      </w:pPr>
    </w:lvl>
    <w:lvl w:ilvl="2" w:tplc="0C0A001B" w:tentative="1">
      <w:start w:val="1"/>
      <w:numFmt w:val="lowerRoman"/>
      <w:lvlText w:val="%3."/>
      <w:lvlJc w:val="right"/>
      <w:pPr>
        <w:ind w:left="2370" w:hanging="180"/>
      </w:pPr>
    </w:lvl>
    <w:lvl w:ilvl="3" w:tplc="0C0A000F" w:tentative="1">
      <w:start w:val="1"/>
      <w:numFmt w:val="decimal"/>
      <w:lvlText w:val="%4."/>
      <w:lvlJc w:val="left"/>
      <w:pPr>
        <w:ind w:left="3090" w:hanging="360"/>
      </w:pPr>
    </w:lvl>
    <w:lvl w:ilvl="4" w:tplc="0C0A0019" w:tentative="1">
      <w:start w:val="1"/>
      <w:numFmt w:val="lowerLetter"/>
      <w:lvlText w:val="%5."/>
      <w:lvlJc w:val="left"/>
      <w:pPr>
        <w:ind w:left="3810" w:hanging="360"/>
      </w:pPr>
    </w:lvl>
    <w:lvl w:ilvl="5" w:tplc="0C0A001B" w:tentative="1">
      <w:start w:val="1"/>
      <w:numFmt w:val="lowerRoman"/>
      <w:lvlText w:val="%6."/>
      <w:lvlJc w:val="right"/>
      <w:pPr>
        <w:ind w:left="4530" w:hanging="180"/>
      </w:pPr>
    </w:lvl>
    <w:lvl w:ilvl="6" w:tplc="0C0A000F" w:tentative="1">
      <w:start w:val="1"/>
      <w:numFmt w:val="decimal"/>
      <w:lvlText w:val="%7."/>
      <w:lvlJc w:val="left"/>
      <w:pPr>
        <w:ind w:left="5250" w:hanging="360"/>
      </w:pPr>
    </w:lvl>
    <w:lvl w:ilvl="7" w:tplc="0C0A0019" w:tentative="1">
      <w:start w:val="1"/>
      <w:numFmt w:val="lowerLetter"/>
      <w:lvlText w:val="%8."/>
      <w:lvlJc w:val="left"/>
      <w:pPr>
        <w:ind w:left="5970" w:hanging="360"/>
      </w:pPr>
    </w:lvl>
    <w:lvl w:ilvl="8" w:tplc="0C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7F93779F"/>
    <w:multiLevelType w:val="hybridMultilevel"/>
    <w:tmpl w:val="EEA4C122"/>
    <w:lvl w:ilvl="0" w:tplc="E6A4B5A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1114188">
    <w:abstractNumId w:val="4"/>
  </w:num>
  <w:num w:numId="2" w16cid:durableId="473065235">
    <w:abstractNumId w:val="1"/>
  </w:num>
  <w:num w:numId="3" w16cid:durableId="1458335368">
    <w:abstractNumId w:val="0"/>
  </w:num>
  <w:num w:numId="4" w16cid:durableId="1022585507">
    <w:abstractNumId w:val="2"/>
  </w:num>
  <w:num w:numId="5" w16cid:durableId="661546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TlG95tKRjX1XLdxE6tnZu9xswHk9bHLzee5H7BjNH4UWiDGVOHlKrTanV8c2sv0aU2V3uhQPIRh1yWe9+fByPw==" w:salt="+axADTSwTiJ0rB0k+hO88w==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D20"/>
    <w:rsid w:val="000A144A"/>
    <w:rsid w:val="00100D20"/>
    <w:rsid w:val="001115B3"/>
    <w:rsid w:val="00121F01"/>
    <w:rsid w:val="002C58BA"/>
    <w:rsid w:val="002F2FEE"/>
    <w:rsid w:val="00325BC7"/>
    <w:rsid w:val="00376D93"/>
    <w:rsid w:val="00470DDF"/>
    <w:rsid w:val="004931FE"/>
    <w:rsid w:val="00510CBE"/>
    <w:rsid w:val="00577C1B"/>
    <w:rsid w:val="005C1F46"/>
    <w:rsid w:val="006007B3"/>
    <w:rsid w:val="00685D22"/>
    <w:rsid w:val="006A3FD3"/>
    <w:rsid w:val="007707D5"/>
    <w:rsid w:val="007C65B9"/>
    <w:rsid w:val="00803062"/>
    <w:rsid w:val="00901A48"/>
    <w:rsid w:val="00953834"/>
    <w:rsid w:val="00975DAB"/>
    <w:rsid w:val="00A82A7D"/>
    <w:rsid w:val="00AE0C49"/>
    <w:rsid w:val="00B45CFA"/>
    <w:rsid w:val="00B977B4"/>
    <w:rsid w:val="00CD1D73"/>
    <w:rsid w:val="00CF2CEF"/>
    <w:rsid w:val="00DD2B80"/>
    <w:rsid w:val="00DE668B"/>
    <w:rsid w:val="00E87922"/>
    <w:rsid w:val="00ED06D7"/>
    <w:rsid w:val="00F1127A"/>
    <w:rsid w:val="00F65B96"/>
    <w:rsid w:val="00FB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35CBD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D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100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00D2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alpie">
    <w:name w:val="footnote reference"/>
    <w:uiPriority w:val="99"/>
    <w:unhideWhenUsed/>
    <w:rsid w:val="00100D20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4931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1FE"/>
  </w:style>
  <w:style w:type="paragraph" w:styleId="Piedepgina">
    <w:name w:val="footer"/>
    <w:basedOn w:val="Normal"/>
    <w:link w:val="PiedepginaCar"/>
    <w:uiPriority w:val="99"/>
    <w:unhideWhenUsed/>
    <w:rsid w:val="004931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1FE"/>
  </w:style>
  <w:style w:type="character" w:styleId="Hipervnculo">
    <w:name w:val="Hyperlink"/>
    <w:basedOn w:val="Fuentedeprrafopredeter"/>
    <w:uiPriority w:val="99"/>
    <w:unhideWhenUsed/>
    <w:rsid w:val="00470DD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70DD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A144A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65B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65B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65B9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B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B96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A82A7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25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qFormat/>
    <w:rsid w:val="00B45CFA"/>
    <w:rPr>
      <w:rFonts w:ascii="Verdana" w:hAnsi="Verdana"/>
      <w:iCs/>
      <w:sz w:val="18"/>
    </w:rPr>
  </w:style>
  <w:style w:type="table" w:styleId="Tablaconcuadrcula">
    <w:name w:val="Table Grid"/>
    <w:basedOn w:val="Tablanormal"/>
    <w:uiPriority w:val="59"/>
    <w:rsid w:val="00F112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oe.es/buscar/doc.php?id=DOUE-L-2021-80889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oe.es/buscar/doc.php?id=DOUE-L-2020-80947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e.es/doue/2021/231/L00001-00020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boe.es/buscar/doc.php?id=DOUE-L-2020-80947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oe.es/buscar/doc.php?id=DOUE-L-2014-8140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oe.es/buscar/doc.php?id=DOUE-L-2014-81403" TargetMode="External"/><Relationship Id="rId1" Type="http://schemas.openxmlformats.org/officeDocument/2006/relationships/hyperlink" Target="https://www.boe.es/doue/2020/198/L00013-0004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A xmlns="7c6d4841-1a6c-406e-8316-b1146790d304">Economía Circular</PROGRAMA>
    <MODELO xmlns="7c6d4841-1a6c-406e-8316-b1146790d304">FORMULARIO  SOLICITUD</MODELO>
    <N_x00ba__x0020_de_x0020_orden xmlns="7c6d4841-1a6c-406e-8316-b1146790d30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6" ma:contentTypeDescription="Plantilla Formularios Ayudas" ma:contentTypeScope="" ma:versionID="747df57e4c4bd64228129793c761ae80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d287e86a529cb7f113735f2306b3b634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>
      <xsd:simpleType>
        <xsd:restriction base="dms:Choice">
          <xsd:enumeration value="Apoyo a la Financiación de Inversiones"/>
          <xsd:enumeration value="Apoyo Financiero a PYMES"/>
          <xsd:enumeration value="Ayuda a la transformación digital"/>
          <xsd:enumeration value="Ayudas Directas"/>
          <xsd:enumeration value="Centros I+D+i empresariales"/>
          <xsd:enumeration value="CHEQUES TECNOLÓGICOS"/>
          <xsd:enumeration value="CLUSTERS"/>
          <xsd:enumeration value="Desarrollo y Mejora de Espacios Industriales"/>
          <xsd:enumeration value="Economía Circular"/>
          <xsd:enumeration value="Empresas de Base Tecnológica EBTs"/>
          <xsd:enumeration value="ERA-NET (MANUNET)"/>
          <xsd:enumeration value="ERA-NET (MERANET)"/>
          <xsd:enumeration value="Estas últimas 5 están englobadas en la base RIS3"/>
          <xsd:enumeration value="FLAG-ERA"/>
          <xsd:enumeration value="Grupos de investigación"/>
          <xsd:enumeration value="I+D+I Tractoras"/>
          <xsd:enumeration value="Industria 4.0"/>
          <xsd:enumeration value="Movilidad de recursos humanos de I+D+i"/>
          <xsd:enumeration value="Premios Impulso"/>
          <xsd:enumeration value="Programa Asturias"/>
          <xsd:enumeration value="Promoción Internacional y Diversificación de Mercados"/>
          <xsd:enumeration value="Promoción Internacional: técnicos de comercio exterior"/>
          <xsd:enumeration value="Proyector tractores de Inversión y Empleo"/>
          <xsd:enumeration value="Proyectos de I+D"/>
          <xsd:enumeration value="Proyectos de Inversión Empresarial"/>
          <xsd:enumeration value="Proyectos I+D+I en Empresas – INOVA-IDEPA"/>
          <xsd:enumeration value="Resolutions"/>
          <xsd:enumeration value="Restructuración y Relanzamiento de Empresas en crisis"/>
          <xsd:enumeration value="SEMILLEROS"/>
          <xsd:enumeration value="Vocaciones Científicas"/>
        </xsd:restriction>
      </xsd:simpleType>
    </xsd:element>
    <xsd:element name="MODELO" ma:index="6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B8D2F-1870-4001-BDDE-7F181833FA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2CF62E-6F8A-46D1-807C-39CD946854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41ED58-DB3C-4C80-A278-E522FD514C0C}">
  <ds:schemaRefs>
    <ds:schemaRef ds:uri="http://purl.org/dc/elements/1.1/"/>
    <ds:schemaRef ds:uri="http://schemas.microsoft.com/office/2006/metadata/properties"/>
    <ds:schemaRef ds:uri="7c6d4841-1a6c-406e-8316-b1146790d304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807907B-9065-42A2-AAEC-485263E08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d4841-1a6c-406e-8316-b1146790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899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2023_CIR_Modelo_DNSH</vt:lpstr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2023_CIR_Modelo_DNSH</dc:title>
  <dc:subject/>
  <dc:creator/>
  <cp:keywords/>
  <dc:description/>
  <cp:lastModifiedBy/>
  <cp:revision>1</cp:revision>
  <dcterms:created xsi:type="dcterms:W3CDTF">2024-10-14T09:14:00Z</dcterms:created>
  <dcterms:modified xsi:type="dcterms:W3CDTF">2024-10-21T13:09:00Z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0x010100EBC03DA15D9F974CA5BA99D39F619E21008F45B068CF7581488E4997F2DD0524FB</vt:lpwstr>
  </property>
  <property fmtid="{D5CDD505-2E9C-101B-9397-08002B2CF9AE}" pid="3" name="Order">
    <vt:r8>77300</vt:r8>
  </property>
  <property fmtid="{D5CDD505-2E9C-101B-9397-08002B2CF9AE}" pid="4" name="Título">
    <vt:lpwstr>2023_CIR_Modelo_DNSH</vt:lpwstr>
  </property>
</Properties>
</file>