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5" w:type="dxa"/>
        <w:tblInd w:w="-186"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98" w:type="dxa"/>
        </w:tblCellMar>
        <w:tblLook w:val="04A0" w:firstRow="1" w:lastRow="0" w:firstColumn="1" w:lastColumn="0" w:noHBand="0" w:noVBand="1"/>
      </w:tblPr>
      <w:tblGrid>
        <w:gridCol w:w="3545"/>
        <w:gridCol w:w="5670"/>
      </w:tblGrid>
      <w:tr w:rsidR="004311A9" w14:paraId="20615D47" w14:textId="77777777">
        <w:tc>
          <w:tcPr>
            <w:tcW w:w="3545"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14:paraId="20615D45" w14:textId="77777777" w:rsidR="004311A9" w:rsidRDefault="00D41B23" w:rsidP="00D41B23">
            <w:pPr>
              <w:spacing w:before="120" w:after="120"/>
              <w:rPr>
                <w:lang w:eastAsia="es-ES"/>
              </w:rPr>
            </w:pPr>
            <w:r>
              <w:rPr>
                <w:b/>
                <w:bCs/>
                <w:color w:val="000000"/>
                <w:szCs w:val="18"/>
                <w:lang w:eastAsia="es-ES"/>
              </w:rPr>
              <w:t>Entidad Pública</w:t>
            </w:r>
          </w:p>
        </w:tc>
        <w:tc>
          <w:tcPr>
            <w:tcW w:w="5669" w:type="dxa"/>
            <w:tcBorders>
              <w:top w:val="single" w:sz="8" w:space="0" w:color="00000A"/>
              <w:bottom w:val="single" w:sz="8" w:space="0" w:color="00000A"/>
              <w:right w:val="single" w:sz="8" w:space="0" w:color="00000A"/>
            </w:tcBorders>
            <w:shd w:val="clear" w:color="auto" w:fill="auto"/>
          </w:tcPr>
          <w:p w14:paraId="20615D46" w14:textId="51526FBC" w:rsidR="004311A9" w:rsidRDefault="001050F6" w:rsidP="00D41B23">
            <w:pPr>
              <w:spacing w:before="120" w:after="120"/>
              <w:rPr>
                <w:sz w:val="16"/>
                <w:szCs w:val="16"/>
                <w:lang w:eastAsia="es-ES"/>
              </w:rPr>
            </w:pPr>
            <w:r>
              <w:rPr>
                <w:szCs w:val="18"/>
                <w:lang w:eastAsia="es-ES"/>
              </w:rPr>
              <w:t>Instituto de Desarrollo Económico del Principado de Asturias (IDEPA)</w:t>
            </w:r>
          </w:p>
        </w:tc>
      </w:tr>
      <w:tr w:rsidR="004311A9" w14:paraId="20615D4A" w14:textId="77777777">
        <w:tc>
          <w:tcPr>
            <w:tcW w:w="3545" w:type="dxa"/>
            <w:tcBorders>
              <w:left w:val="single" w:sz="8" w:space="0" w:color="00000A"/>
              <w:bottom w:val="single" w:sz="8" w:space="0" w:color="00000A"/>
              <w:right w:val="single" w:sz="8" w:space="0" w:color="00000A"/>
            </w:tcBorders>
            <w:shd w:val="clear" w:color="auto" w:fill="auto"/>
            <w:tcMar>
              <w:left w:w="98" w:type="dxa"/>
            </w:tcMar>
          </w:tcPr>
          <w:p w14:paraId="20615D48" w14:textId="77777777" w:rsidR="004311A9" w:rsidRDefault="00D41B23" w:rsidP="00D41B23">
            <w:pPr>
              <w:spacing w:before="120" w:after="120"/>
              <w:rPr>
                <w:lang w:eastAsia="es-ES"/>
              </w:rPr>
            </w:pPr>
            <w:r>
              <w:rPr>
                <w:b/>
                <w:bCs/>
                <w:color w:val="000000"/>
                <w:szCs w:val="18"/>
                <w:lang w:eastAsia="es-ES"/>
              </w:rPr>
              <w:t>Rango de la norma</w:t>
            </w:r>
          </w:p>
        </w:tc>
        <w:tc>
          <w:tcPr>
            <w:tcW w:w="5669" w:type="dxa"/>
            <w:tcBorders>
              <w:bottom w:val="single" w:sz="8" w:space="0" w:color="00000A"/>
              <w:right w:val="single" w:sz="8" w:space="0" w:color="00000A"/>
            </w:tcBorders>
            <w:shd w:val="clear" w:color="auto" w:fill="auto"/>
          </w:tcPr>
          <w:p w14:paraId="20615D49" w14:textId="77777777" w:rsidR="004311A9" w:rsidRDefault="00D41B23" w:rsidP="00D41B23">
            <w:pPr>
              <w:spacing w:before="120" w:after="120"/>
              <w:jc w:val="both"/>
              <w:rPr>
                <w:lang w:eastAsia="es-ES"/>
              </w:rPr>
            </w:pPr>
            <w:r>
              <w:rPr>
                <w:szCs w:val="18"/>
                <w:lang w:eastAsia="es-ES"/>
              </w:rPr>
              <w:t xml:space="preserve">Resolución </w:t>
            </w:r>
          </w:p>
        </w:tc>
      </w:tr>
      <w:tr w:rsidR="004311A9" w14:paraId="20615D4D" w14:textId="77777777">
        <w:tc>
          <w:tcPr>
            <w:tcW w:w="3545" w:type="dxa"/>
            <w:tcBorders>
              <w:left w:val="single" w:sz="8" w:space="0" w:color="00000A"/>
              <w:bottom w:val="single" w:sz="8" w:space="0" w:color="00000A"/>
              <w:right w:val="single" w:sz="8" w:space="0" w:color="00000A"/>
            </w:tcBorders>
            <w:shd w:val="clear" w:color="auto" w:fill="auto"/>
            <w:tcMar>
              <w:left w:w="98" w:type="dxa"/>
            </w:tcMar>
          </w:tcPr>
          <w:p w14:paraId="20615D4B" w14:textId="77777777" w:rsidR="004311A9" w:rsidRDefault="00D41B23" w:rsidP="00D41B23">
            <w:pPr>
              <w:spacing w:before="120" w:after="120"/>
              <w:rPr>
                <w:lang w:eastAsia="es-ES"/>
              </w:rPr>
            </w:pPr>
            <w:r>
              <w:rPr>
                <w:b/>
                <w:bCs/>
                <w:color w:val="000000"/>
                <w:szCs w:val="18"/>
                <w:lang w:eastAsia="es-ES"/>
              </w:rPr>
              <w:t>Nombre</w:t>
            </w:r>
          </w:p>
        </w:tc>
        <w:tc>
          <w:tcPr>
            <w:tcW w:w="5669" w:type="dxa"/>
            <w:tcBorders>
              <w:bottom w:val="single" w:sz="8" w:space="0" w:color="00000A"/>
              <w:right w:val="single" w:sz="8" w:space="0" w:color="00000A"/>
            </w:tcBorders>
            <w:shd w:val="clear" w:color="auto" w:fill="auto"/>
          </w:tcPr>
          <w:p w14:paraId="20615D4C" w14:textId="3D4A7929" w:rsidR="004311A9" w:rsidRDefault="001050F6" w:rsidP="00D41B23">
            <w:pPr>
              <w:spacing w:before="120" w:after="120"/>
              <w:jc w:val="both"/>
              <w:rPr>
                <w:b/>
                <w:color w:val="FF0000"/>
                <w:sz w:val="20"/>
                <w:szCs w:val="20"/>
              </w:rPr>
            </w:pPr>
            <w:r w:rsidRPr="007679C7">
              <w:rPr>
                <w:b/>
                <w:bCs/>
                <w:szCs w:val="18"/>
                <w:lang w:eastAsia="es-ES"/>
              </w:rPr>
              <w:t xml:space="preserve">Resolución de aprobación de las </w:t>
            </w:r>
            <w:r>
              <w:rPr>
                <w:b/>
                <w:bCs/>
                <w:szCs w:val="18"/>
                <w:lang w:eastAsia="es-ES"/>
              </w:rPr>
              <w:t>B</w:t>
            </w:r>
            <w:r w:rsidRPr="007679C7">
              <w:rPr>
                <w:b/>
                <w:bCs/>
                <w:szCs w:val="18"/>
                <w:lang w:eastAsia="es-ES"/>
              </w:rPr>
              <w:t>ases Reguladoras de Ayudas a la Inversión dirigidas a empresas para apoyar la Transición de la Actividad Industrial hacia una Economía Circular</w:t>
            </w:r>
          </w:p>
        </w:tc>
      </w:tr>
      <w:tr w:rsidR="004311A9" w14:paraId="20615D5A" w14:textId="77777777" w:rsidTr="00D41B23">
        <w:trPr>
          <w:trHeight w:val="4632"/>
        </w:trPr>
        <w:tc>
          <w:tcPr>
            <w:tcW w:w="3545" w:type="dxa"/>
            <w:tcBorders>
              <w:left w:val="single" w:sz="8" w:space="0" w:color="00000A"/>
              <w:bottom w:val="single" w:sz="8" w:space="0" w:color="00000A"/>
              <w:right w:val="single" w:sz="8" w:space="0" w:color="00000A"/>
            </w:tcBorders>
            <w:shd w:val="clear" w:color="auto" w:fill="auto"/>
            <w:tcMar>
              <w:left w:w="98" w:type="dxa"/>
            </w:tcMar>
          </w:tcPr>
          <w:p w14:paraId="20615D4E" w14:textId="77777777" w:rsidR="004311A9" w:rsidRDefault="00D41B23" w:rsidP="00D41B23">
            <w:pPr>
              <w:spacing w:before="120" w:after="120"/>
              <w:rPr>
                <w:lang w:eastAsia="es-ES"/>
              </w:rPr>
            </w:pPr>
            <w:r>
              <w:rPr>
                <w:b/>
                <w:bCs/>
                <w:color w:val="000000"/>
                <w:szCs w:val="18"/>
                <w:lang w:eastAsia="es-ES"/>
              </w:rPr>
              <w:t>Problemas que se pretenden solucionar con la nueva norma</w:t>
            </w:r>
          </w:p>
        </w:tc>
        <w:tc>
          <w:tcPr>
            <w:tcW w:w="5669" w:type="dxa"/>
            <w:tcBorders>
              <w:bottom w:val="single" w:sz="8" w:space="0" w:color="00000A"/>
              <w:right w:val="single" w:sz="8" w:space="0" w:color="00000A"/>
            </w:tcBorders>
            <w:shd w:val="clear" w:color="auto" w:fill="auto"/>
          </w:tcPr>
          <w:p w14:paraId="6910E41C" w14:textId="77777777" w:rsidR="00D41B23" w:rsidRPr="007679C7" w:rsidRDefault="00D41B23" w:rsidP="00D41B23">
            <w:pPr>
              <w:spacing w:before="120" w:after="120"/>
              <w:jc w:val="both"/>
              <w:rPr>
                <w:szCs w:val="18"/>
                <w:lang w:eastAsia="es-ES"/>
              </w:rPr>
            </w:pPr>
            <w:r w:rsidRPr="007679C7">
              <w:rPr>
                <w:szCs w:val="18"/>
                <w:lang w:eastAsia="es-ES"/>
              </w:rPr>
              <w:t>Asturias, es una región altamente industrializada, con una concentración singular de su actividad en materiales básicos (acero, Zn, vidrio, …) que coexiste con un impresionante paisaje natural, conocido como Paraíso Natural (un tercio del territorio está protegido).</w:t>
            </w:r>
          </w:p>
          <w:p w14:paraId="480BF49E" w14:textId="77777777" w:rsidR="00D41B23" w:rsidRPr="00D41B23" w:rsidRDefault="00D41B23" w:rsidP="00D41B23">
            <w:pPr>
              <w:spacing w:before="120" w:after="120"/>
              <w:jc w:val="both"/>
              <w:rPr>
                <w:szCs w:val="18"/>
                <w:lang w:eastAsia="es-ES"/>
              </w:rPr>
            </w:pPr>
            <w:r w:rsidRPr="007879C3">
              <w:rPr>
                <w:szCs w:val="18"/>
                <w:lang w:eastAsia="es-ES"/>
              </w:rPr>
              <w:t>Asturias debe evolucionar hacia un modelo industrial en el que el crecimiento</w:t>
            </w:r>
            <w:r>
              <w:rPr>
                <w:szCs w:val="18"/>
                <w:lang w:eastAsia="es-ES"/>
              </w:rPr>
              <w:t xml:space="preserve"> </w:t>
            </w:r>
            <w:r w:rsidRPr="007879C3">
              <w:rPr>
                <w:szCs w:val="18"/>
                <w:lang w:eastAsia="es-ES"/>
              </w:rPr>
              <w:t xml:space="preserve">económico esté disociado del uso de los </w:t>
            </w:r>
            <w:r w:rsidRPr="00D41B23">
              <w:rPr>
                <w:szCs w:val="18"/>
                <w:lang w:eastAsia="es-ES"/>
              </w:rPr>
              <w:t>recursos, reduciendo la presión sobre los recursos naturales a través la disminución de la contaminación y la valorización de residuos.</w:t>
            </w:r>
          </w:p>
          <w:p w14:paraId="0DB42133" w14:textId="77777777" w:rsidR="00D41B23" w:rsidRPr="00D41B23" w:rsidRDefault="00D41B23" w:rsidP="00D41B23">
            <w:pPr>
              <w:spacing w:before="120" w:after="120"/>
              <w:jc w:val="both"/>
              <w:rPr>
                <w:szCs w:val="18"/>
                <w:lang w:eastAsia="es-ES"/>
              </w:rPr>
            </w:pPr>
            <w:r w:rsidRPr="00D41B23">
              <w:rPr>
                <w:szCs w:val="18"/>
                <w:lang w:eastAsia="es-ES"/>
              </w:rPr>
              <w:t xml:space="preserve">La industria regional debería desarrollar proyectos orientados a favorecer distintas fórmulas de descarbonización y circularidad, promovidos tanto desde el origen de las corrientes residuales, como desde el consumo de los recursos. </w:t>
            </w:r>
          </w:p>
          <w:p w14:paraId="20615D50" w14:textId="526A6629" w:rsidR="004311A9" w:rsidRPr="00D41B23" w:rsidRDefault="00D41B23" w:rsidP="00D41B23">
            <w:pPr>
              <w:spacing w:before="120" w:after="120"/>
              <w:jc w:val="both"/>
              <w:rPr>
                <w:szCs w:val="18"/>
                <w:lang w:eastAsia="es-ES"/>
              </w:rPr>
            </w:pPr>
            <w:r w:rsidRPr="00D41B23">
              <w:rPr>
                <w:szCs w:val="18"/>
                <w:lang w:eastAsia="es-ES"/>
              </w:rPr>
              <w:t>La industria regional corre el riesgo de tener que reducir su actividad debido a la necesidad de alcanzar los objetivos de descarbonización y vertido cuasi cero.</w:t>
            </w:r>
          </w:p>
          <w:p w14:paraId="20615D59" w14:textId="77777777" w:rsidR="004311A9" w:rsidRDefault="004311A9" w:rsidP="00D41B23">
            <w:pPr>
              <w:spacing w:before="120" w:after="120"/>
              <w:jc w:val="both"/>
              <w:rPr>
                <w:szCs w:val="18"/>
                <w:lang w:eastAsia="es-ES"/>
              </w:rPr>
            </w:pPr>
          </w:p>
        </w:tc>
      </w:tr>
      <w:tr w:rsidR="004311A9" w14:paraId="20615D68" w14:textId="77777777">
        <w:tc>
          <w:tcPr>
            <w:tcW w:w="3545" w:type="dxa"/>
            <w:tcBorders>
              <w:left w:val="single" w:sz="8" w:space="0" w:color="00000A"/>
              <w:bottom w:val="single" w:sz="8" w:space="0" w:color="00000A"/>
              <w:right w:val="single" w:sz="8" w:space="0" w:color="00000A"/>
            </w:tcBorders>
            <w:shd w:val="clear" w:color="auto" w:fill="auto"/>
            <w:tcMar>
              <w:left w:w="98" w:type="dxa"/>
            </w:tcMar>
          </w:tcPr>
          <w:p w14:paraId="20615D5B" w14:textId="77777777" w:rsidR="004311A9" w:rsidRDefault="00D41B23" w:rsidP="00D41B23">
            <w:pPr>
              <w:spacing w:before="120" w:after="120"/>
              <w:rPr>
                <w:lang w:eastAsia="es-ES"/>
              </w:rPr>
            </w:pPr>
            <w:r>
              <w:rPr>
                <w:b/>
                <w:bCs/>
                <w:color w:val="000000"/>
                <w:szCs w:val="18"/>
                <w:lang w:eastAsia="es-ES"/>
              </w:rPr>
              <w:t>Necesidad y oportunidad de su aprobación</w:t>
            </w:r>
          </w:p>
        </w:tc>
        <w:tc>
          <w:tcPr>
            <w:tcW w:w="5669" w:type="dxa"/>
            <w:tcBorders>
              <w:bottom w:val="single" w:sz="8" w:space="0" w:color="00000A"/>
              <w:right w:val="single" w:sz="8" w:space="0" w:color="00000A"/>
            </w:tcBorders>
            <w:shd w:val="clear" w:color="auto" w:fill="auto"/>
          </w:tcPr>
          <w:p w14:paraId="20615D67" w14:textId="47F39DB1" w:rsidR="004311A9" w:rsidRDefault="00D41B23" w:rsidP="00D41B23">
            <w:pPr>
              <w:spacing w:before="120" w:after="120"/>
              <w:jc w:val="both"/>
              <w:rPr>
                <w:szCs w:val="18"/>
                <w:lang w:eastAsia="es-ES"/>
              </w:rPr>
            </w:pPr>
            <w:r w:rsidRPr="00D41B23">
              <w:rPr>
                <w:szCs w:val="18"/>
                <w:lang w:eastAsia="es-ES"/>
              </w:rPr>
              <w:t>Es preciso facilitar la alineación de la actividad industrial con los objetivos políticos de neutralidad de emisiones y vertido cuasi cero establecidos en el Mapa de Estrategias de Asturias como respuesta al compromiso de la región con el Pacto Verde.</w:t>
            </w:r>
          </w:p>
        </w:tc>
      </w:tr>
      <w:tr w:rsidR="004311A9" w14:paraId="20615D75" w14:textId="77777777">
        <w:tc>
          <w:tcPr>
            <w:tcW w:w="3545" w:type="dxa"/>
            <w:tcBorders>
              <w:left w:val="single" w:sz="8" w:space="0" w:color="00000A"/>
              <w:bottom w:val="single" w:sz="8" w:space="0" w:color="00000A"/>
              <w:right w:val="single" w:sz="8" w:space="0" w:color="00000A"/>
            </w:tcBorders>
            <w:shd w:val="clear" w:color="auto" w:fill="auto"/>
            <w:tcMar>
              <w:left w:w="98" w:type="dxa"/>
            </w:tcMar>
          </w:tcPr>
          <w:p w14:paraId="20615D69" w14:textId="77777777" w:rsidR="004311A9" w:rsidRDefault="00D41B23" w:rsidP="00D41B23">
            <w:pPr>
              <w:spacing w:before="120" w:after="120"/>
              <w:rPr>
                <w:lang w:eastAsia="es-ES"/>
              </w:rPr>
            </w:pPr>
            <w:r>
              <w:rPr>
                <w:b/>
                <w:bCs/>
                <w:color w:val="000000"/>
                <w:szCs w:val="18"/>
                <w:lang w:eastAsia="es-ES"/>
              </w:rPr>
              <w:t>Objetivos de la norma</w:t>
            </w:r>
          </w:p>
        </w:tc>
        <w:tc>
          <w:tcPr>
            <w:tcW w:w="5669" w:type="dxa"/>
            <w:tcBorders>
              <w:bottom w:val="single" w:sz="8" w:space="0" w:color="00000A"/>
              <w:right w:val="single" w:sz="8" w:space="0" w:color="00000A"/>
            </w:tcBorders>
            <w:shd w:val="clear" w:color="auto" w:fill="auto"/>
          </w:tcPr>
          <w:p w14:paraId="20615D74" w14:textId="4DE06F77" w:rsidR="004311A9" w:rsidRDefault="00D41B23" w:rsidP="00D41B23">
            <w:pPr>
              <w:spacing w:before="120" w:after="120"/>
              <w:jc w:val="both"/>
              <w:rPr>
                <w:szCs w:val="18"/>
                <w:lang w:eastAsia="es-ES"/>
              </w:rPr>
            </w:pPr>
            <w:r>
              <w:rPr>
                <w:szCs w:val="18"/>
                <w:lang w:eastAsia="es-ES"/>
              </w:rPr>
              <w:t xml:space="preserve">Desarrollar unas </w:t>
            </w:r>
            <w:bookmarkStart w:id="0" w:name="__UnoMark__615_1067590781"/>
            <w:r w:rsidRPr="006739AA">
              <w:rPr>
                <w:szCs w:val="18"/>
                <w:lang w:eastAsia="es-ES"/>
              </w:rPr>
              <w:t>B</w:t>
            </w:r>
            <w:bookmarkEnd w:id="0"/>
            <w:r w:rsidRPr="006739AA">
              <w:rPr>
                <w:szCs w:val="18"/>
                <w:lang w:eastAsia="es-ES"/>
              </w:rPr>
              <w:t xml:space="preserve">ases Reguladoras para regular la concesión de subvenciones, en régimen de concurrencia competitiva, para la realización de proyectos de inversión </w:t>
            </w:r>
            <w:r>
              <w:rPr>
                <w:szCs w:val="18"/>
                <w:lang w:eastAsia="es-ES"/>
              </w:rPr>
              <w:t xml:space="preserve">en </w:t>
            </w:r>
            <w:r w:rsidRPr="006739AA">
              <w:rPr>
                <w:szCs w:val="18"/>
                <w:lang w:eastAsia="es-ES"/>
              </w:rPr>
              <w:t xml:space="preserve"> Asturias, que faciliten la transición de la actividad industrial hacia una economía circular y descarbonizada, a través de medidas de eficicencia en el uso de los recursos y reducción de gases efecto invernadero en condiciones competitivas, con especial atención a las iniciativas resultantes de modelos colaborativos de simbiosis industrial o simbiosis industrial urbana, en línea con las expectativas del Hub de Circularidad.</w:t>
            </w:r>
          </w:p>
        </w:tc>
      </w:tr>
      <w:tr w:rsidR="004311A9" w14:paraId="20615D84" w14:textId="77777777">
        <w:tc>
          <w:tcPr>
            <w:tcW w:w="3545" w:type="dxa"/>
            <w:tcBorders>
              <w:left w:val="single" w:sz="8" w:space="0" w:color="00000A"/>
              <w:bottom w:val="single" w:sz="8" w:space="0" w:color="00000A"/>
              <w:right w:val="single" w:sz="8" w:space="0" w:color="00000A"/>
            </w:tcBorders>
            <w:shd w:val="clear" w:color="auto" w:fill="auto"/>
            <w:tcMar>
              <w:left w:w="98" w:type="dxa"/>
            </w:tcMar>
          </w:tcPr>
          <w:p w14:paraId="20615D76" w14:textId="77777777" w:rsidR="004311A9" w:rsidRDefault="00D41B23" w:rsidP="00D41B23">
            <w:pPr>
              <w:spacing w:before="120" w:after="120"/>
              <w:rPr>
                <w:lang w:eastAsia="es-ES"/>
              </w:rPr>
            </w:pPr>
            <w:r>
              <w:rPr>
                <w:b/>
                <w:bCs/>
                <w:color w:val="000000"/>
                <w:szCs w:val="18"/>
                <w:lang w:eastAsia="es-ES"/>
              </w:rPr>
              <w:t>Posibles soluciones alternativas, regulatorias y no regulatorias</w:t>
            </w:r>
          </w:p>
        </w:tc>
        <w:tc>
          <w:tcPr>
            <w:tcW w:w="5669" w:type="dxa"/>
            <w:tcBorders>
              <w:bottom w:val="single" w:sz="8" w:space="0" w:color="00000A"/>
              <w:right w:val="single" w:sz="8" w:space="0" w:color="00000A"/>
            </w:tcBorders>
            <w:shd w:val="clear" w:color="auto" w:fill="auto"/>
          </w:tcPr>
          <w:p w14:paraId="20615D83" w14:textId="3620F9C1" w:rsidR="004311A9" w:rsidRDefault="00D41B23" w:rsidP="00D41B23">
            <w:pPr>
              <w:spacing w:before="120" w:after="120"/>
              <w:jc w:val="both"/>
              <w:rPr>
                <w:szCs w:val="18"/>
                <w:lang w:eastAsia="es-ES"/>
              </w:rPr>
            </w:pPr>
            <w:r w:rsidRPr="00D41B23">
              <w:rPr>
                <w:szCs w:val="18"/>
                <w:lang w:eastAsia="es-ES"/>
              </w:rPr>
              <w:t>Esperar que las empresas realicen estas inversiones sin el incentivo de la administración.</w:t>
            </w:r>
          </w:p>
        </w:tc>
      </w:tr>
    </w:tbl>
    <w:p w14:paraId="20615D86" w14:textId="77777777" w:rsidR="004311A9" w:rsidRDefault="004311A9">
      <w:pPr>
        <w:spacing w:after="200"/>
        <w:jc w:val="both"/>
        <w:rPr>
          <w:rFonts w:eastAsia="Calibri" w:cs="Verdana"/>
          <w:b/>
          <w:szCs w:val="18"/>
          <w:lang w:eastAsia="zh-CN"/>
        </w:rPr>
      </w:pPr>
    </w:p>
    <w:tbl>
      <w:tblPr>
        <w:tblW w:w="7971" w:type="dxa"/>
        <w:tblLook w:val="0000" w:firstRow="0" w:lastRow="0" w:firstColumn="0" w:lastColumn="0" w:noHBand="0" w:noVBand="0"/>
      </w:tblPr>
      <w:tblGrid>
        <w:gridCol w:w="675"/>
        <w:gridCol w:w="3119"/>
        <w:gridCol w:w="4177"/>
      </w:tblGrid>
      <w:tr w:rsidR="004311A9" w14:paraId="20615D90" w14:textId="77777777" w:rsidTr="00D41B23">
        <w:trPr>
          <w:trHeight w:val="66"/>
        </w:trPr>
        <w:tc>
          <w:tcPr>
            <w:tcW w:w="675" w:type="dxa"/>
            <w:shd w:val="clear" w:color="auto" w:fill="auto"/>
          </w:tcPr>
          <w:p w14:paraId="20615D8D" w14:textId="77777777" w:rsidR="004311A9" w:rsidRDefault="004311A9" w:rsidP="007A355F">
            <w:pPr>
              <w:suppressAutoHyphens w:val="0"/>
              <w:spacing w:line="259" w:lineRule="auto"/>
              <w:rPr>
                <w:rFonts w:eastAsia="Times New Roman" w:cs="Segoe UI"/>
                <w:color w:val="FF0000"/>
                <w:szCs w:val="18"/>
                <w:lang w:eastAsia="es-ES"/>
              </w:rPr>
            </w:pPr>
          </w:p>
        </w:tc>
        <w:tc>
          <w:tcPr>
            <w:tcW w:w="3119" w:type="dxa"/>
            <w:shd w:val="clear" w:color="auto" w:fill="auto"/>
          </w:tcPr>
          <w:p w14:paraId="20615D8E" w14:textId="77777777" w:rsidR="004311A9" w:rsidRDefault="004311A9">
            <w:pPr>
              <w:jc w:val="both"/>
              <w:rPr>
                <w:rFonts w:eastAsia="Calibri" w:cs="Verdana"/>
                <w:szCs w:val="18"/>
                <w:lang w:eastAsia="zh-CN"/>
              </w:rPr>
            </w:pPr>
          </w:p>
        </w:tc>
        <w:tc>
          <w:tcPr>
            <w:tcW w:w="4177" w:type="dxa"/>
            <w:shd w:val="clear" w:color="auto" w:fill="auto"/>
          </w:tcPr>
          <w:p w14:paraId="20615D8F" w14:textId="77777777" w:rsidR="004311A9" w:rsidRDefault="004311A9">
            <w:pPr>
              <w:spacing w:after="200"/>
              <w:jc w:val="both"/>
              <w:rPr>
                <w:rFonts w:eastAsia="Calibri" w:cs="Verdana"/>
                <w:lang w:eastAsia="zh-CN"/>
              </w:rPr>
            </w:pPr>
          </w:p>
        </w:tc>
      </w:tr>
    </w:tbl>
    <w:p w14:paraId="20615D91" w14:textId="77777777" w:rsidR="004311A9" w:rsidRDefault="004311A9"/>
    <w:sectPr w:rsidR="004311A9">
      <w:pgSz w:w="11906" w:h="16838"/>
      <w:pgMar w:top="1417" w:right="1701" w:bottom="1417" w:left="1701" w:header="708" w:footer="0" w:gutter="0"/>
      <w:cols w:space="720"/>
      <w:formProt w:val="0"/>
      <w:docGrid w:linePitch="360"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F9792" w14:textId="77777777" w:rsidR="001E0393" w:rsidRDefault="001E0393">
      <w:r>
        <w:separator/>
      </w:r>
    </w:p>
  </w:endnote>
  <w:endnote w:type="continuationSeparator" w:id="0">
    <w:p w14:paraId="36C5373B" w14:textId="77777777" w:rsidR="001E0393" w:rsidRDefault="001E0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55B53" w14:textId="77777777" w:rsidR="001E0393" w:rsidRDefault="001E0393">
      <w:r>
        <w:separator/>
      </w:r>
    </w:p>
  </w:footnote>
  <w:footnote w:type="continuationSeparator" w:id="0">
    <w:p w14:paraId="1B709061" w14:textId="77777777" w:rsidR="001E0393" w:rsidRDefault="001E03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1A9"/>
    <w:rsid w:val="00086D22"/>
    <w:rsid w:val="001050F6"/>
    <w:rsid w:val="001E0393"/>
    <w:rsid w:val="004311A9"/>
    <w:rsid w:val="00520B29"/>
    <w:rsid w:val="007A355F"/>
    <w:rsid w:val="00D41B23"/>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15D45"/>
  <w15:docId w15:val="{900A2C10-3B97-49AC-ABE2-C509E4A49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s-E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219"/>
    <w:pPr>
      <w:suppressAutoHyphens/>
      <w:spacing w:line="240" w:lineRule="auto"/>
    </w:pPr>
    <w:rPr>
      <w:rFonts w:ascii="Verdana" w:hAnsi="Verdana" w:cs="Calibr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D3048A"/>
    <w:rPr>
      <w:rFonts w:ascii="Calibri" w:hAnsi="Calibri" w:cs="Calibri"/>
    </w:rPr>
  </w:style>
  <w:style w:type="character" w:customStyle="1" w:styleId="PiedepginaCar">
    <w:name w:val="Pie de página Car"/>
    <w:basedOn w:val="Fuentedeprrafopredeter"/>
    <w:link w:val="Piedepgina"/>
    <w:uiPriority w:val="99"/>
    <w:qFormat/>
    <w:rsid w:val="00D3048A"/>
    <w:rPr>
      <w:rFonts w:ascii="Calibri" w:hAnsi="Calibri" w:cs="Calibri"/>
    </w:rPr>
  </w:style>
  <w:style w:type="paragraph" w:styleId="Encabezado">
    <w:name w:val="header"/>
    <w:basedOn w:val="Normal"/>
    <w:next w:val="Cuerpodetexto"/>
    <w:link w:val="EncabezadoCar"/>
    <w:qFormat/>
    <w:pPr>
      <w:keepNext/>
      <w:spacing w:before="240" w:after="120"/>
    </w:pPr>
    <w:rPr>
      <w:rFonts w:ascii="Liberation Sans" w:eastAsia="Microsoft YaHei" w:hAnsi="Liberation Sans" w:cs="Mangal"/>
      <w:sz w:val="28"/>
      <w:szCs w:val="28"/>
    </w:rPr>
  </w:style>
  <w:style w:type="paragraph" w:customStyle="1" w:styleId="Cuerpodetexto">
    <w:name w:val="Cuerpo de texto"/>
    <w:basedOn w:val="Normal"/>
    <w:pPr>
      <w:spacing w:after="140" w:line="288" w:lineRule="auto"/>
    </w:pPr>
  </w:style>
  <w:style w:type="paragraph" w:styleId="Lista">
    <w:name w:val="List"/>
    <w:basedOn w:val="Cuerpodetexto"/>
    <w:rPr>
      <w:rFonts w:cs="Mangal"/>
    </w:rPr>
  </w:style>
  <w:style w:type="paragraph" w:customStyle="1" w:styleId="Leyenda">
    <w:name w:val="Leyenda"/>
    <w:basedOn w:val="Normal"/>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customStyle="1" w:styleId="Encabezamiento">
    <w:name w:val="Encabezamiento"/>
    <w:basedOn w:val="Normal"/>
    <w:uiPriority w:val="99"/>
    <w:unhideWhenUsed/>
    <w:rsid w:val="00D3048A"/>
    <w:pPr>
      <w:tabs>
        <w:tab w:val="center" w:pos="4252"/>
        <w:tab w:val="right" w:pos="8504"/>
      </w:tabs>
    </w:pPr>
  </w:style>
  <w:style w:type="paragraph" w:styleId="Piedepgina">
    <w:name w:val="footer"/>
    <w:basedOn w:val="Normal"/>
    <w:link w:val="PiedepginaCar"/>
    <w:uiPriority w:val="99"/>
    <w:unhideWhenUsed/>
    <w:rsid w:val="00D3048A"/>
    <w:pPr>
      <w:tabs>
        <w:tab w:val="center" w:pos="4252"/>
        <w:tab w:val="right" w:pos="85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362</Words>
  <Characters>1991</Characters>
  <Application>Microsoft Office Word</Application>
  <DocSecurity>0</DocSecurity>
  <Lines>16</Lines>
  <Paragraphs>4</Paragraphs>
  <ScaleCrop>false</ScaleCrop>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Herrero Franco</dc:creator>
  <cp:lastModifiedBy>Carmen Peña Díaz</cp:lastModifiedBy>
  <cp:revision>2</cp:revision>
  <dcterms:created xsi:type="dcterms:W3CDTF">2022-05-31T06:00:00Z</dcterms:created>
  <dcterms:modified xsi:type="dcterms:W3CDTF">2022-05-31T06:00:00Z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