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FAF0325" w:rsidR="003D02CC" w:rsidRPr="002D6439" w:rsidRDefault="00E05B6A" w:rsidP="00174621">
            <w:pPr>
              <w:spacing w:before="60" w:after="60"/>
              <w:ind w:left="-11" w:right="-13"/>
              <w:jc w:val="center"/>
              <w:rPr>
                <w:b/>
                <w:sz w:val="18"/>
                <w:szCs w:val="18"/>
              </w:rPr>
            </w:pPr>
            <w:r>
              <w:rPr>
                <w:b/>
                <w:color w:val="0033CC"/>
                <w:sz w:val="18"/>
                <w:szCs w:val="18"/>
              </w:rPr>
              <w:t xml:space="preserve">CENTROS </w:t>
            </w:r>
            <w:r w:rsidR="00174621">
              <w:rPr>
                <w:b/>
                <w:color w:val="0033CC"/>
                <w:sz w:val="18"/>
                <w:szCs w:val="18"/>
              </w:rPr>
              <w:t>DE I+D</w:t>
            </w:r>
            <w:r>
              <w:rPr>
                <w:b/>
                <w:color w:val="0033CC"/>
                <w:sz w:val="18"/>
                <w:szCs w:val="18"/>
              </w:rPr>
              <w:t xml:space="preserve"> EMPRESARIALES</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74FA57F6" w14:textId="77777777" w:rsidR="00074505" w:rsidRDefault="00074505" w:rsidP="0011202F">
      <w:pPr>
        <w:jc w:val="center"/>
        <w:rPr>
          <w:b/>
          <w:sz w:val="28"/>
          <w:szCs w:val="28"/>
        </w:rPr>
      </w:pPr>
    </w:p>
    <w:p w14:paraId="05E4CC86" w14:textId="77777777" w:rsidR="00F57EEC" w:rsidRDefault="00F57EEC" w:rsidP="0011202F">
      <w:pPr>
        <w:jc w:val="center"/>
        <w:rPr>
          <w:b/>
          <w:sz w:val="28"/>
          <w:szCs w:val="28"/>
        </w:rPr>
      </w:pPr>
    </w:p>
    <w:p w14:paraId="13759E00" w14:textId="77777777" w:rsidR="00F57EEC" w:rsidRDefault="00F57EEC" w:rsidP="0011202F">
      <w:pPr>
        <w:jc w:val="center"/>
        <w:rPr>
          <w:b/>
          <w:sz w:val="28"/>
          <w:szCs w:val="28"/>
        </w:rPr>
      </w:pPr>
    </w:p>
    <w:p w14:paraId="0493DFC9" w14:textId="4FACE312" w:rsidR="00F57EEC" w:rsidRPr="00F57EEC" w:rsidRDefault="00F57EEC" w:rsidP="0011202F">
      <w:pPr>
        <w:jc w:val="center"/>
        <w:rPr>
          <w:bCs/>
          <w:color w:val="0033CC"/>
          <w:sz w:val="28"/>
          <w:szCs w:val="28"/>
        </w:rPr>
      </w:pPr>
      <w:r w:rsidRPr="00F57EEC">
        <w:rPr>
          <w:bCs/>
          <w:color w:val="0033CC"/>
          <w:sz w:val="28"/>
          <w:szCs w:val="28"/>
        </w:rPr>
        <w:t>(se debe presentar una cuenta justificativa</w:t>
      </w:r>
      <w:r w:rsidR="00AE7A59">
        <w:rPr>
          <w:bCs/>
          <w:color w:val="0033CC"/>
          <w:sz w:val="28"/>
          <w:szCs w:val="28"/>
        </w:rPr>
        <w:t xml:space="preserve"> diferenciada</w:t>
      </w:r>
      <w:r w:rsidRPr="00F57EEC">
        <w:rPr>
          <w:bCs/>
          <w:color w:val="0033CC"/>
          <w:sz w:val="28"/>
          <w:szCs w:val="28"/>
        </w:rPr>
        <w:t>, con l</w:t>
      </w:r>
      <w:r w:rsidR="00AE7A59">
        <w:rPr>
          <w:bCs/>
          <w:color w:val="0033CC"/>
          <w:sz w:val="28"/>
          <w:szCs w:val="28"/>
        </w:rPr>
        <w:t>os</w:t>
      </w:r>
      <w:r w:rsidRPr="00F57EEC">
        <w:rPr>
          <w:bCs/>
          <w:color w:val="0033CC"/>
          <w:sz w:val="28"/>
          <w:szCs w:val="28"/>
        </w:rPr>
        <w:t xml:space="preserve"> </w:t>
      </w:r>
      <w:r w:rsidR="00AE7A59">
        <w:rPr>
          <w:bCs/>
          <w:color w:val="0033CC"/>
          <w:sz w:val="28"/>
          <w:szCs w:val="28"/>
        </w:rPr>
        <w:t xml:space="preserve">anexos </w:t>
      </w:r>
      <w:r w:rsidRPr="00F57EEC">
        <w:rPr>
          <w:bCs/>
          <w:color w:val="0033CC"/>
          <w:sz w:val="28"/>
          <w:szCs w:val="28"/>
        </w:rPr>
        <w:t>requerid</w:t>
      </w:r>
      <w:r w:rsidR="00AE7A59">
        <w:rPr>
          <w:bCs/>
          <w:color w:val="0033CC"/>
          <w:sz w:val="28"/>
          <w:szCs w:val="28"/>
        </w:rPr>
        <w:t>os</w:t>
      </w:r>
      <w:r w:rsidRPr="00F57EEC">
        <w:rPr>
          <w:bCs/>
          <w:color w:val="0033CC"/>
          <w:sz w:val="28"/>
          <w:szCs w:val="28"/>
        </w:rPr>
        <w:t>, para cada uno de los proyectos que se haya aprobado a</w:t>
      </w:r>
      <w:r w:rsidR="00AE7A59">
        <w:rPr>
          <w:bCs/>
          <w:color w:val="0033CC"/>
          <w:sz w:val="28"/>
          <w:szCs w:val="28"/>
        </w:rPr>
        <w:t xml:space="preserve"> </w:t>
      </w:r>
      <w:r w:rsidRPr="00F57EEC">
        <w:rPr>
          <w:bCs/>
          <w:color w:val="0033CC"/>
          <w:sz w:val="28"/>
          <w:szCs w:val="28"/>
        </w:rPr>
        <w:t>l</w:t>
      </w:r>
      <w:r w:rsidR="00AE7A59">
        <w:rPr>
          <w:bCs/>
          <w:color w:val="0033CC"/>
          <w:sz w:val="28"/>
          <w:szCs w:val="28"/>
        </w:rPr>
        <w:t>a</w:t>
      </w:r>
      <w:r w:rsidRPr="00F57EEC">
        <w:rPr>
          <w:bCs/>
          <w:color w:val="0033CC"/>
          <w:sz w:val="28"/>
          <w:szCs w:val="28"/>
        </w:rPr>
        <w:t xml:space="preserve"> </w:t>
      </w:r>
      <w:r w:rsidR="00AE7A59">
        <w:rPr>
          <w:bCs/>
          <w:color w:val="0033CC"/>
          <w:sz w:val="28"/>
          <w:szCs w:val="28"/>
        </w:rPr>
        <w:t xml:space="preserve">empresa </w:t>
      </w:r>
      <w:r w:rsidRPr="00F57EEC">
        <w:rPr>
          <w:bCs/>
          <w:color w:val="0033CC"/>
          <w:sz w:val="28"/>
          <w:szCs w:val="28"/>
        </w:rPr>
        <w:t xml:space="preserve">en </w:t>
      </w:r>
      <w:r w:rsidR="00AE7A59">
        <w:rPr>
          <w:bCs/>
          <w:color w:val="0033CC"/>
          <w:sz w:val="28"/>
          <w:szCs w:val="28"/>
        </w:rPr>
        <w:t xml:space="preserve">el </w:t>
      </w:r>
      <w:r w:rsidRPr="00F57EEC">
        <w:rPr>
          <w:bCs/>
          <w:color w:val="0033CC"/>
          <w:sz w:val="28"/>
          <w:szCs w:val="28"/>
        </w:rPr>
        <w:t>plan de actuación correspondiente al Nº de expediente indicado)</w:t>
      </w:r>
    </w:p>
    <w:p w14:paraId="771637A5" w14:textId="77777777" w:rsidR="00F57EEC" w:rsidRDefault="00F57EEC" w:rsidP="00F57EEC">
      <w:pPr>
        <w:rPr>
          <w:b/>
          <w:sz w:val="28"/>
          <w:szCs w:val="28"/>
        </w:rPr>
      </w:pPr>
    </w:p>
    <w:p w14:paraId="0071132F" w14:textId="0297D776" w:rsidR="00F57EEC" w:rsidRDefault="00F57EEC" w:rsidP="00F57EEC">
      <w:pPr>
        <w:rPr>
          <w:b/>
          <w:sz w:val="28"/>
          <w:szCs w:val="28"/>
        </w:rPr>
        <w:sectPr w:rsidR="00F57EEC"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178A9C1D" w:rsidR="0011202F" w:rsidRDefault="0011202F" w:rsidP="00657B42">
            <w:pPr>
              <w:pStyle w:val="Titulo-Numeracion"/>
              <w:numPr>
                <w:ilvl w:val="0"/>
                <w:numId w:val="0"/>
              </w:numPr>
              <w:spacing w:before="40" w:after="40"/>
              <w:rPr>
                <w:sz w:val="18"/>
                <w:szCs w:val="18"/>
                <w:lang w:val="es-ES_tradnl"/>
              </w:rPr>
            </w:pPr>
            <w:r>
              <w:rPr>
                <w:sz w:val="18"/>
                <w:szCs w:val="18"/>
                <w:lang w:val="es-ES_tradnl"/>
              </w:rPr>
              <w:t xml:space="preserve">Descripción de las actuaciones realizadas y la financiación del proyecto. </w:t>
            </w:r>
            <w:r w:rsidR="00512A96" w:rsidRPr="00512A96">
              <w:rPr>
                <w:b/>
                <w:bCs/>
                <w:sz w:val="18"/>
                <w:szCs w:val="18"/>
                <w:lang w:val="es-ES_tradnl"/>
              </w:rPr>
              <w:t>(</w:t>
            </w:r>
            <w:r w:rsidRPr="00512A96">
              <w:rPr>
                <w:b/>
                <w:sz w:val="18"/>
                <w:szCs w:val="18"/>
                <w:lang w:val="es-ES_tradnl"/>
              </w:rPr>
              <w:t>Anexo I</w:t>
            </w:r>
            <w:r w:rsidR="00512A96">
              <w:rPr>
                <w:b/>
                <w:sz w:val="18"/>
                <w:szCs w:val="18"/>
                <w:lang w:val="es-ES_tradnl"/>
              </w:rPr>
              <w:t>)</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06BC0" w:rsidRDefault="00906BC0" w:rsidP="00657B42">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499BAF5E" w:rsidR="00906BC0" w:rsidRDefault="00906BC0" w:rsidP="00657B42">
            <w:pPr>
              <w:pStyle w:val="Titulo-Numeracion"/>
              <w:numPr>
                <w:ilvl w:val="0"/>
                <w:numId w:val="0"/>
              </w:numPr>
              <w:spacing w:before="40" w:after="40"/>
              <w:rPr>
                <w:sz w:val="18"/>
                <w:szCs w:val="18"/>
              </w:rPr>
            </w:pPr>
            <w:r>
              <w:rPr>
                <w:sz w:val="18"/>
                <w:szCs w:val="18"/>
              </w:rPr>
              <w:t xml:space="preserve">Copia de </w:t>
            </w:r>
            <w:r w:rsidRPr="00F02706">
              <w:rPr>
                <w:b/>
                <w:bCs/>
                <w:sz w:val="18"/>
                <w:szCs w:val="18"/>
              </w:rPr>
              <w:t>Alta en el IAE</w:t>
            </w:r>
            <w:r>
              <w:rPr>
                <w:sz w:val="18"/>
                <w:szCs w:val="18"/>
              </w:rPr>
              <w:t>, si no ha dado autorización, o si se trata de nueva actividad o creación.</w:t>
            </w:r>
          </w:p>
        </w:tc>
      </w:tr>
      <w:bookmarkStart w:id="4" w:name="_Hlk130812041"/>
      <w:tr w:rsidR="00906BC0" w:rsidRPr="0031362A" w14:paraId="6A06539F" w14:textId="77777777" w:rsidTr="00551583">
        <w:trPr>
          <w:trHeight w:val="340"/>
          <w:tblCellSpacing w:w="20" w:type="dxa"/>
          <w:jc w:val="center"/>
        </w:trPr>
        <w:tc>
          <w:tcPr>
            <w:tcW w:w="280" w:type="pct"/>
            <w:shd w:val="clear" w:color="auto" w:fill="auto"/>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shd w:val="clear" w:color="auto" w:fill="auto"/>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2D1F49" w14:paraId="6722A53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4A5B9C60" w14:textId="4C11ADC0" w:rsidR="002D1F49" w:rsidRDefault="002D1F49" w:rsidP="002D1F49">
            <w:pPr>
              <w:spacing w:before="40" w:after="40"/>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78AE93D" w14:textId="4CD978BE" w:rsidR="002D1F49" w:rsidRPr="002D1F49" w:rsidRDefault="002D1F49" w:rsidP="002D1F49">
            <w:pPr>
              <w:pStyle w:val="Titulo-Numeracion"/>
              <w:numPr>
                <w:ilvl w:val="0"/>
                <w:numId w:val="0"/>
              </w:numPr>
              <w:spacing w:before="40" w:after="40"/>
              <w:rPr>
                <w:b/>
                <w:bCs/>
                <w:sz w:val="18"/>
                <w:szCs w:val="18"/>
              </w:rPr>
            </w:pPr>
            <w:r w:rsidRPr="002D1F49">
              <w:rPr>
                <w:b/>
                <w:bCs/>
                <w:sz w:val="18"/>
                <w:szCs w:val="18"/>
              </w:rPr>
              <w:t>Encuesta fin de proyecto</w:t>
            </w:r>
          </w:p>
        </w:tc>
      </w:tr>
      <w:tr w:rsidR="002D1F49"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2D1F49"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2D1F49" w:rsidRDefault="002D1F49"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2D1F49"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shd w:val="clear" w:color="auto" w:fill="auto"/>
            <w:vAlign w:val="center"/>
          </w:tcPr>
          <w:p w14:paraId="007113B4" w14:textId="77777777" w:rsidR="001D4E53" w:rsidRPr="00D97B11" w:rsidRDefault="001D4E53" w:rsidP="007863BF">
            <w:pPr>
              <w:spacing w:before="20" w:after="20"/>
            </w:pPr>
            <w:r w:rsidRPr="00D97B11">
              <w:t>Entidad</w:t>
            </w:r>
          </w:p>
        </w:tc>
        <w:tc>
          <w:tcPr>
            <w:tcW w:w="1399" w:type="dxa"/>
            <w:shd w:val="clear" w:color="auto" w:fill="auto"/>
            <w:vAlign w:val="center"/>
          </w:tcPr>
          <w:p w14:paraId="007113B5" w14:textId="77777777" w:rsidR="001D4E53" w:rsidRPr="00D97B11" w:rsidRDefault="001D4E53" w:rsidP="007863BF">
            <w:pPr>
              <w:spacing w:before="20" w:after="20"/>
              <w:jc w:val="center"/>
            </w:pPr>
            <w:r w:rsidRPr="00D97B11">
              <w:t>Fecha solicitud</w:t>
            </w:r>
          </w:p>
        </w:tc>
        <w:tc>
          <w:tcPr>
            <w:tcW w:w="1407" w:type="dxa"/>
            <w:shd w:val="clear" w:color="auto" w:fill="auto"/>
            <w:vAlign w:val="center"/>
          </w:tcPr>
          <w:p w14:paraId="007113B6" w14:textId="77777777" w:rsidR="001D4E53" w:rsidRPr="00D97B11" w:rsidRDefault="001D4E53" w:rsidP="007863BF">
            <w:pPr>
              <w:spacing w:before="20" w:after="20"/>
              <w:jc w:val="center"/>
            </w:pPr>
            <w:r w:rsidRPr="00D97B11">
              <w:t>Fecha aprobación</w:t>
            </w:r>
          </w:p>
        </w:tc>
        <w:tc>
          <w:tcPr>
            <w:tcW w:w="1734" w:type="dxa"/>
            <w:shd w:val="clear" w:color="auto" w:fill="auto"/>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lastRenderedPageBreak/>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ENTO NORMAS ÉTICAS Y ANTI FRAUDE</w:t>
      </w:r>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lastRenderedPageBreak/>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4830594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5A865FAC"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E05B6A">
            <w:rPr>
              <w:rStyle w:val="nfasis"/>
              <w:b/>
              <w:i/>
              <w:sz w:val="15"/>
              <w:szCs w:val="15"/>
            </w:rPr>
            <w:t>Centr</w:t>
          </w:r>
          <w:r w:rsidR="00174621">
            <w:rPr>
              <w:rStyle w:val="nfasis"/>
              <w:b/>
              <w:i/>
              <w:sz w:val="15"/>
              <w:szCs w:val="15"/>
            </w:rPr>
            <w:t>os I+D</w:t>
          </w:r>
          <w:r w:rsidR="00017BA8" w:rsidRPr="0076210D">
            <w:rPr>
              <w:rStyle w:val="nfasis"/>
              <w:b/>
              <w:i/>
              <w:sz w:val="15"/>
              <w:szCs w:val="15"/>
            </w:rPr>
            <w:t xml:space="preserve"> </w:t>
          </w:r>
          <w:r w:rsidR="00E05B6A">
            <w:rPr>
              <w:rStyle w:val="nfasis"/>
              <w:b/>
              <w:i/>
              <w:sz w:val="15"/>
              <w:szCs w:val="15"/>
            </w:rPr>
            <w:t xml:space="preserve">empresariales </w:t>
          </w:r>
          <w:r w:rsidR="00017BA8" w:rsidRPr="0076210D">
            <w:rPr>
              <w:rStyle w:val="nfasis"/>
              <w:b/>
              <w:i/>
              <w:sz w:val="15"/>
              <w:szCs w:val="15"/>
            </w:rPr>
            <w:t>2024</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146042144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AE7A59">
            <w:fldChar w:fldCharType="begin"/>
          </w:r>
          <w:r w:rsidR="00AE7A59">
            <w:instrText xml:space="preserve"> INCLUDEPICTURE  "L:\\Innovacion\\FINANCIACION\\EBTs\\AppData\\Local\\Packages\\Microsoft.Windows.Photos_8wekyb3d8bbwe\\TempState\\ShareServiceTempFolder\\SEKUENS_2cm.jpeg" \* MERGEFORMATINET </w:instrText>
          </w:r>
          <w:r w:rsidR="00AE7A59">
            <w:fldChar w:fldCharType="separate"/>
          </w:r>
          <w:r w:rsidR="002D4EBB">
            <w:fldChar w:fldCharType="begin"/>
          </w:r>
          <w:r w:rsidR="002D4EBB">
            <w:instrText xml:space="preserve"> INCLUDEPICTURE  "L:\\Innovacion\\FINANCIACION\\EBTs\\AppData\\Local\\Packages\\Microsoft.Windows.Photos_8wekyb3d8bbwe\\TempState\\ShareServiceTempFolder\\SEKUENS_2cm.jpeg" \* MERGEFORMATINET </w:instrText>
          </w:r>
          <w:r w:rsidR="002D4EBB">
            <w:fldChar w:fldCharType="separate"/>
          </w:r>
          <w:r w:rsidR="0004581B">
            <w:fldChar w:fldCharType="begin"/>
          </w:r>
          <w:r w:rsidR="0004581B">
            <w:instrText xml:space="preserve"> </w:instrText>
          </w:r>
          <w:r w:rsidR="0004581B">
            <w:instrText>INCLUDEPICTURE  "L:\\Innovacion\\FINANCIACION\\EBTs\\AppData\\Local\\Packages\\Microsoft.Windows.Photos_8wekyb3d8bbwe\\TempState\\ShareServiceTempFolder\\SEKUENS_2cm.jpeg" \* MERGEFORMATINET</w:instrText>
          </w:r>
          <w:r w:rsidR="0004581B">
            <w:instrText xml:space="preserve"> </w:instrText>
          </w:r>
          <w:r w:rsidR="0004581B">
            <w:fldChar w:fldCharType="separate"/>
          </w:r>
          <w:r w:rsidR="0004581B">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04581B">
            <w:fldChar w:fldCharType="end"/>
          </w:r>
          <w:r w:rsidR="002D4EBB">
            <w:fldChar w:fldCharType="end"/>
          </w:r>
          <w:r w:rsidR="00AE7A59">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780GMSPnA0hduSVerIi5FdWEOQJbKrT2T7nEMg1VEnP1Sw+LIs+roemcFho4JxczuH/zkiM3ahcszGvnzq2w==" w:salt="Vgeyrkl9I3TzZjIkCGTr+g=="/>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4581B"/>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30FA"/>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4EBB"/>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3A94"/>
    <w:rsid w:val="007A5226"/>
    <w:rsid w:val="007A7532"/>
    <w:rsid w:val="007B0C7E"/>
    <w:rsid w:val="007B29F1"/>
    <w:rsid w:val="007B3E25"/>
    <w:rsid w:val="007C0958"/>
    <w:rsid w:val="007C2128"/>
    <w:rsid w:val="007C2EA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51E8"/>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7D2"/>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A59"/>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5B6A"/>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EEC"/>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DEN xmlns="5e0400d1-f49c-498f-8eab-a66b55fd35a0">37</ORDEN>
    <PROGRAMA xmlns="5e0400d1-f49c-498f-8eab-a66b55fd35a0">CENTROS I+D+i EMPRESARIALES-CID</PROGRAMA>
    <VIGENTE xmlns="5e0400d1-f49c-498f-8eab-a66b55fd35a0">true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2.xml><?xml version="1.0" encoding="utf-8"?>
<ds:datastoreItem xmlns:ds="http://schemas.openxmlformats.org/officeDocument/2006/customXml" ds:itemID="{D7BDE311-F11C-4134-B0EA-09B048F4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D83CC-A344-4F19-9B95-1AFAB8D4D86A}">
  <ds:schemaRefs>
    <ds:schemaRef ds:uri="5e0400d1-f49c-498f-8eab-a66b55fd35a0"/>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8611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10156</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Cuenta_Justificativa_CID_2024</dc:title>
  <dc:subject/>
  <dc:creator>Santiago IDEPA</dc:creator>
  <cp:keywords/>
  <dc:description/>
  <cp:lastModifiedBy>David Díaz Jiménez - IDEPA</cp:lastModifiedBy>
  <cp:revision>2</cp:revision>
  <cp:lastPrinted>2017-08-03T11:02:00Z</cp:lastPrinted>
  <dcterms:created xsi:type="dcterms:W3CDTF">2025-03-11T08:09:00Z</dcterms:created>
  <dcterms:modified xsi:type="dcterms:W3CDTF">2025-03-11T08:09:00Z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0x010100EBC03DA15D9F974CA5BA99D39F619E2100B8CFE2FD8134124983038B8A93D1A746</vt:lpwstr>
  </property>
</Properties>
</file>